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9B" w:rsidRDefault="00832DC7">
      <w:pPr>
        <w:spacing w:after="0"/>
        <w:ind w:left="14"/>
      </w:pPr>
      <w:r>
        <w:rPr>
          <w:rFonts w:ascii="Arial" w:eastAsia="Arial" w:hAnsi="Arial" w:cs="Arial"/>
          <w:b/>
          <w:i/>
          <w:sz w:val="24"/>
        </w:rPr>
        <w:t xml:space="preserve">ASISTENT MEDICAL - LABORATOR </w:t>
      </w:r>
      <w:r>
        <w:rPr>
          <w:rFonts w:ascii="Arial" w:eastAsia="Arial" w:hAnsi="Arial" w:cs="Arial"/>
          <w:sz w:val="24"/>
        </w:rPr>
        <w:t xml:space="preserve">  </w:t>
      </w:r>
    </w:p>
    <w:p w:rsidR="006F799B" w:rsidRDefault="00832DC7">
      <w:pPr>
        <w:spacing w:after="19"/>
        <w:ind w:left="14"/>
      </w:pPr>
      <w:r>
        <w:rPr>
          <w:rFonts w:ascii="Arial" w:eastAsia="Arial" w:hAnsi="Arial" w:cs="Arial"/>
          <w:sz w:val="24"/>
        </w:rPr>
        <w:t xml:space="preserve">  </w:t>
      </w:r>
    </w:p>
    <w:p w:rsidR="006F799B" w:rsidRDefault="00832DC7">
      <w:pPr>
        <w:spacing w:after="0"/>
      </w:pPr>
      <w:r>
        <w:rPr>
          <w:rFonts w:ascii="Arial" w:eastAsia="Arial" w:hAnsi="Arial" w:cs="Arial"/>
          <w:b/>
          <w:sz w:val="24"/>
        </w:rPr>
        <w:t xml:space="preserve">Tematica : </w:t>
      </w:r>
      <w:r>
        <w:rPr>
          <w:rFonts w:ascii="Arial" w:eastAsia="Arial" w:hAnsi="Arial" w:cs="Arial"/>
          <w:sz w:val="24"/>
        </w:rPr>
        <w:t xml:space="preserve">  </w:t>
      </w:r>
    </w:p>
    <w:p w:rsidR="006F799B" w:rsidRDefault="00832DC7">
      <w:pPr>
        <w:numPr>
          <w:ilvl w:val="0"/>
          <w:numId w:val="1"/>
        </w:numPr>
        <w:spacing w:after="8" w:line="254" w:lineRule="auto"/>
        <w:ind w:hanging="403"/>
      </w:pPr>
      <w:r>
        <w:rPr>
          <w:rFonts w:ascii="Arial" w:eastAsia="Arial" w:hAnsi="Arial" w:cs="Arial"/>
          <w:sz w:val="24"/>
        </w:rPr>
        <w:t xml:space="preserve">Hemoglobina: structura, functii;   </w:t>
      </w:r>
    </w:p>
    <w:p w:rsidR="006F799B" w:rsidRDefault="00832DC7">
      <w:pPr>
        <w:numPr>
          <w:ilvl w:val="0"/>
          <w:numId w:val="1"/>
        </w:numPr>
        <w:spacing w:after="8" w:line="254" w:lineRule="auto"/>
        <w:ind w:hanging="403"/>
      </w:pPr>
      <w:r>
        <w:rPr>
          <w:rFonts w:ascii="Arial" w:eastAsia="Arial" w:hAnsi="Arial" w:cs="Arial"/>
          <w:sz w:val="24"/>
        </w:rPr>
        <w:t xml:space="preserve">Eritrocitul: structura, functii, variatii;   </w:t>
      </w:r>
    </w:p>
    <w:p w:rsidR="006F799B" w:rsidRDefault="00832DC7">
      <w:pPr>
        <w:numPr>
          <w:ilvl w:val="0"/>
          <w:numId w:val="1"/>
        </w:numPr>
        <w:spacing w:after="8" w:line="254" w:lineRule="auto"/>
        <w:ind w:hanging="403"/>
      </w:pPr>
      <w:r>
        <w:rPr>
          <w:rFonts w:ascii="Arial" w:eastAsia="Arial" w:hAnsi="Arial" w:cs="Arial"/>
          <w:sz w:val="24"/>
        </w:rPr>
        <w:t xml:space="preserve">Anemia feripriva -simptome, investigatii de laborator;   </w:t>
      </w:r>
    </w:p>
    <w:p w:rsidR="006F799B" w:rsidRDefault="00832DC7">
      <w:pPr>
        <w:numPr>
          <w:ilvl w:val="0"/>
          <w:numId w:val="1"/>
        </w:numPr>
        <w:spacing w:after="8" w:line="254" w:lineRule="auto"/>
        <w:ind w:hanging="403"/>
      </w:pPr>
      <w:r>
        <w:rPr>
          <w:rFonts w:ascii="Arial" w:eastAsia="Arial" w:hAnsi="Arial" w:cs="Arial"/>
          <w:sz w:val="24"/>
        </w:rPr>
        <w:t xml:space="preserve">Anemia megaloblastica- simptome, investigatii de laborator;   </w:t>
      </w:r>
    </w:p>
    <w:p w:rsidR="006F799B" w:rsidRDefault="00832DC7">
      <w:pPr>
        <w:numPr>
          <w:ilvl w:val="0"/>
          <w:numId w:val="1"/>
        </w:numPr>
        <w:spacing w:after="8" w:line="254" w:lineRule="auto"/>
        <w:ind w:hanging="403"/>
      </w:pPr>
      <w:r>
        <w:rPr>
          <w:rFonts w:ascii="Arial" w:eastAsia="Arial" w:hAnsi="Arial" w:cs="Arial"/>
          <w:sz w:val="24"/>
        </w:rPr>
        <w:t xml:space="preserve">Anemiile hemolitice-simptome, investigatii de laborator;   </w:t>
      </w:r>
    </w:p>
    <w:p w:rsidR="006F799B" w:rsidRDefault="00832DC7">
      <w:pPr>
        <w:numPr>
          <w:ilvl w:val="0"/>
          <w:numId w:val="1"/>
        </w:numPr>
        <w:spacing w:after="8" w:line="254" w:lineRule="auto"/>
        <w:ind w:hanging="403"/>
      </w:pPr>
      <w:r>
        <w:rPr>
          <w:rFonts w:ascii="Arial" w:eastAsia="Arial" w:hAnsi="Arial" w:cs="Arial"/>
          <w:sz w:val="24"/>
        </w:rPr>
        <w:t xml:space="preserve">Leucocitul-structura, forme, variatii;   </w:t>
      </w:r>
    </w:p>
    <w:p w:rsidR="006F799B" w:rsidRDefault="00832DC7">
      <w:pPr>
        <w:numPr>
          <w:ilvl w:val="0"/>
          <w:numId w:val="1"/>
        </w:numPr>
        <w:spacing w:after="8" w:line="254" w:lineRule="auto"/>
        <w:ind w:hanging="403"/>
      </w:pPr>
      <w:r>
        <w:rPr>
          <w:rFonts w:ascii="Arial" w:eastAsia="Arial" w:hAnsi="Arial" w:cs="Arial"/>
          <w:sz w:val="24"/>
        </w:rPr>
        <w:t xml:space="preserve">Leucemia granulocitara cronica -simptome, investigatii de laborator;   </w:t>
      </w:r>
    </w:p>
    <w:p w:rsidR="006F799B" w:rsidRDefault="00832DC7">
      <w:pPr>
        <w:numPr>
          <w:ilvl w:val="0"/>
          <w:numId w:val="1"/>
        </w:numPr>
        <w:spacing w:after="8" w:line="254" w:lineRule="auto"/>
        <w:ind w:hanging="403"/>
      </w:pPr>
      <w:r>
        <w:rPr>
          <w:rFonts w:ascii="Arial" w:eastAsia="Arial" w:hAnsi="Arial" w:cs="Arial"/>
          <w:sz w:val="24"/>
        </w:rPr>
        <w:t xml:space="preserve">Leucemia limfatica cronica:simptome, investigatii de laborator;   </w:t>
      </w:r>
    </w:p>
    <w:p w:rsidR="006F799B" w:rsidRDefault="00832DC7">
      <w:pPr>
        <w:numPr>
          <w:ilvl w:val="0"/>
          <w:numId w:val="1"/>
        </w:numPr>
        <w:spacing w:after="8" w:line="254" w:lineRule="auto"/>
        <w:ind w:hanging="403"/>
      </w:pPr>
      <w:r>
        <w:rPr>
          <w:rFonts w:ascii="Arial" w:eastAsia="Arial" w:hAnsi="Arial" w:cs="Arial"/>
          <w:sz w:val="24"/>
        </w:rPr>
        <w:t xml:space="preserve">Trombocitul si </w:t>
      </w:r>
      <w:r>
        <w:rPr>
          <w:rFonts w:ascii="Arial" w:eastAsia="Arial" w:hAnsi="Arial" w:cs="Arial"/>
          <w:sz w:val="24"/>
        </w:rPr>
        <w:t>seri</w:t>
      </w:r>
      <w:bookmarkStart w:id="0" w:name="_GoBack"/>
      <w:bookmarkEnd w:id="0"/>
      <w:r>
        <w:rPr>
          <w:rFonts w:ascii="Arial" w:eastAsia="Arial" w:hAnsi="Arial" w:cs="Arial"/>
          <w:sz w:val="24"/>
        </w:rPr>
        <w:t xml:space="preserve">a trombocitara;   </w:t>
      </w:r>
    </w:p>
    <w:p w:rsidR="006F799B" w:rsidRDefault="00832DC7">
      <w:pPr>
        <w:numPr>
          <w:ilvl w:val="0"/>
          <w:numId w:val="1"/>
        </w:numPr>
        <w:spacing w:after="8" w:line="254" w:lineRule="auto"/>
        <w:ind w:hanging="403"/>
      </w:pPr>
      <w:r>
        <w:rPr>
          <w:rFonts w:ascii="Arial" w:eastAsia="Arial" w:hAnsi="Arial" w:cs="Arial"/>
          <w:sz w:val="24"/>
        </w:rPr>
        <w:t xml:space="preserve">Hemostaza-faza intrinseca si extrinseca   </w:t>
      </w:r>
    </w:p>
    <w:p w:rsidR="006F799B" w:rsidRDefault="00832DC7">
      <w:pPr>
        <w:numPr>
          <w:ilvl w:val="0"/>
          <w:numId w:val="1"/>
        </w:numPr>
        <w:spacing w:after="8" w:line="254" w:lineRule="auto"/>
        <w:ind w:hanging="403"/>
      </w:pPr>
      <w:r>
        <w:rPr>
          <w:rFonts w:ascii="Arial" w:eastAsia="Arial" w:hAnsi="Arial" w:cs="Arial"/>
          <w:sz w:val="24"/>
        </w:rPr>
        <w:t xml:space="preserve">Grupele sanguine:sistemul OAB, Rh;   </w:t>
      </w:r>
    </w:p>
    <w:p w:rsidR="006F799B" w:rsidRDefault="00832DC7">
      <w:pPr>
        <w:numPr>
          <w:ilvl w:val="0"/>
          <w:numId w:val="1"/>
        </w:numPr>
        <w:spacing w:after="8" w:line="254" w:lineRule="auto"/>
        <w:ind w:hanging="403"/>
      </w:pPr>
      <w:r>
        <w:rPr>
          <w:rFonts w:ascii="Arial" w:eastAsia="Arial" w:hAnsi="Arial" w:cs="Arial"/>
          <w:sz w:val="24"/>
        </w:rPr>
        <w:t xml:space="preserve">Colesterolul sanguin (surse, valori, importanta clinica);   </w:t>
      </w:r>
    </w:p>
    <w:p w:rsidR="006F799B" w:rsidRDefault="00832DC7">
      <w:pPr>
        <w:numPr>
          <w:ilvl w:val="0"/>
          <w:numId w:val="1"/>
        </w:numPr>
        <w:spacing w:after="8" w:line="254" w:lineRule="auto"/>
        <w:ind w:hanging="403"/>
      </w:pPr>
      <w:r>
        <w:rPr>
          <w:rFonts w:ascii="Arial" w:eastAsia="Arial" w:hAnsi="Arial" w:cs="Arial"/>
          <w:sz w:val="24"/>
        </w:rPr>
        <w:t xml:space="preserve">Formarea ureei :urogeneza-semnificatie clinica;   </w:t>
      </w:r>
    </w:p>
    <w:p w:rsidR="006F799B" w:rsidRDefault="00832DC7">
      <w:pPr>
        <w:numPr>
          <w:ilvl w:val="0"/>
          <w:numId w:val="1"/>
        </w:numPr>
        <w:spacing w:after="8" w:line="254" w:lineRule="auto"/>
        <w:ind w:hanging="403"/>
      </w:pPr>
      <w:r>
        <w:rPr>
          <w:rFonts w:ascii="Arial" w:eastAsia="Arial" w:hAnsi="Arial" w:cs="Arial"/>
          <w:sz w:val="24"/>
        </w:rPr>
        <w:t>Formarea acidului uric-semnificatie clin</w:t>
      </w:r>
      <w:r>
        <w:rPr>
          <w:rFonts w:ascii="Arial" w:eastAsia="Arial" w:hAnsi="Arial" w:cs="Arial"/>
          <w:sz w:val="24"/>
        </w:rPr>
        <w:t xml:space="preserve">ica;   </w:t>
      </w:r>
    </w:p>
    <w:p w:rsidR="006F799B" w:rsidRDefault="00832DC7">
      <w:pPr>
        <w:numPr>
          <w:ilvl w:val="0"/>
          <w:numId w:val="1"/>
        </w:numPr>
        <w:spacing w:after="8" w:line="254" w:lineRule="auto"/>
        <w:ind w:hanging="403"/>
      </w:pPr>
      <w:r>
        <w:rPr>
          <w:rFonts w:ascii="Arial" w:eastAsia="Arial" w:hAnsi="Arial" w:cs="Arial"/>
          <w:sz w:val="24"/>
        </w:rPr>
        <w:t xml:space="preserve">Urina-compozitie, explorare laborator;   </w:t>
      </w:r>
    </w:p>
    <w:p w:rsidR="006F799B" w:rsidRDefault="00832DC7">
      <w:pPr>
        <w:numPr>
          <w:ilvl w:val="0"/>
          <w:numId w:val="1"/>
        </w:numPr>
        <w:spacing w:after="8" w:line="254" w:lineRule="auto"/>
        <w:ind w:hanging="403"/>
      </w:pPr>
      <w:r>
        <w:rPr>
          <w:rFonts w:ascii="Arial" w:eastAsia="Arial" w:hAnsi="Arial" w:cs="Arial"/>
          <w:sz w:val="24"/>
        </w:rPr>
        <w:t xml:space="preserve">Tromboza;   </w:t>
      </w:r>
    </w:p>
    <w:p w:rsidR="006F799B" w:rsidRDefault="00832DC7">
      <w:pPr>
        <w:numPr>
          <w:ilvl w:val="0"/>
          <w:numId w:val="1"/>
        </w:numPr>
        <w:spacing w:after="8" w:line="254" w:lineRule="auto"/>
        <w:ind w:hanging="403"/>
      </w:pPr>
      <w:r>
        <w:rPr>
          <w:rFonts w:ascii="Arial" w:eastAsia="Arial" w:hAnsi="Arial" w:cs="Arial"/>
          <w:sz w:val="24"/>
        </w:rPr>
        <w:t xml:space="preserve">Tumori maligne-caractere de malignitate, exemple;   </w:t>
      </w:r>
    </w:p>
    <w:p w:rsidR="006F799B" w:rsidRDefault="00832DC7">
      <w:pPr>
        <w:numPr>
          <w:ilvl w:val="0"/>
          <w:numId w:val="1"/>
        </w:numPr>
        <w:spacing w:after="8" w:line="254" w:lineRule="auto"/>
        <w:ind w:hanging="403"/>
      </w:pPr>
      <w:r>
        <w:rPr>
          <w:rFonts w:ascii="Arial" w:eastAsia="Arial" w:hAnsi="Arial" w:cs="Arial"/>
          <w:sz w:val="24"/>
        </w:rPr>
        <w:t xml:space="preserve">Ciroza hepatica;   </w:t>
      </w:r>
    </w:p>
    <w:p w:rsidR="006F799B" w:rsidRDefault="00832DC7">
      <w:pPr>
        <w:numPr>
          <w:ilvl w:val="0"/>
          <w:numId w:val="1"/>
        </w:numPr>
        <w:spacing w:after="8" w:line="254" w:lineRule="auto"/>
        <w:ind w:hanging="403"/>
      </w:pPr>
      <w:r>
        <w:rPr>
          <w:rFonts w:ascii="Arial" w:eastAsia="Arial" w:hAnsi="Arial" w:cs="Arial"/>
          <w:sz w:val="24"/>
        </w:rPr>
        <w:t xml:space="preserve">Infectii nosocomiale: definitie, agentii patogeni implicati, tehnica diagnosticarii;   </w:t>
      </w:r>
    </w:p>
    <w:p w:rsidR="006F799B" w:rsidRDefault="00832DC7">
      <w:pPr>
        <w:numPr>
          <w:ilvl w:val="0"/>
          <w:numId w:val="1"/>
        </w:numPr>
        <w:spacing w:after="8" w:line="254" w:lineRule="auto"/>
        <w:ind w:hanging="403"/>
      </w:pPr>
      <w:r>
        <w:rPr>
          <w:rFonts w:ascii="Arial" w:eastAsia="Arial" w:hAnsi="Arial" w:cs="Arial"/>
          <w:sz w:val="24"/>
        </w:rPr>
        <w:t xml:space="preserve">Hematopoieza-definitie,  celule </w:t>
      </w:r>
      <w:r>
        <w:rPr>
          <w:rFonts w:ascii="Arial" w:eastAsia="Arial" w:hAnsi="Arial" w:cs="Arial"/>
          <w:sz w:val="24"/>
        </w:rPr>
        <w:t xml:space="preserve"> si  organe  hematopoietice;  determinarea hemoleucogramei;   </w:t>
      </w:r>
    </w:p>
    <w:p w:rsidR="006F799B" w:rsidRDefault="00832DC7">
      <w:pPr>
        <w:numPr>
          <w:ilvl w:val="0"/>
          <w:numId w:val="1"/>
        </w:numPr>
        <w:spacing w:after="8" w:line="254" w:lineRule="auto"/>
        <w:ind w:hanging="403"/>
      </w:pPr>
      <w:r>
        <w:rPr>
          <w:rFonts w:ascii="Arial" w:eastAsia="Arial" w:hAnsi="Arial" w:cs="Arial"/>
          <w:sz w:val="24"/>
        </w:rPr>
        <w:t xml:space="preserve">Frotiul de sange-tehnica executarii, coloratia, examinarea microscopica;   </w:t>
      </w:r>
    </w:p>
    <w:p w:rsidR="006F799B" w:rsidRDefault="00832DC7">
      <w:pPr>
        <w:numPr>
          <w:ilvl w:val="0"/>
          <w:numId w:val="1"/>
        </w:numPr>
        <w:spacing w:after="8" w:line="254" w:lineRule="auto"/>
        <w:ind w:hanging="403"/>
      </w:pPr>
      <w:r>
        <w:rPr>
          <w:rFonts w:ascii="Arial" w:eastAsia="Arial" w:hAnsi="Arial" w:cs="Arial"/>
          <w:sz w:val="24"/>
        </w:rPr>
        <w:t xml:space="preserve">Boala Hodgkin-cauze, aspecte patologice, investigatii de laborator;   </w:t>
      </w:r>
    </w:p>
    <w:p w:rsidR="006F799B" w:rsidRDefault="00832DC7">
      <w:pPr>
        <w:numPr>
          <w:ilvl w:val="0"/>
          <w:numId w:val="1"/>
        </w:numPr>
        <w:spacing w:after="8" w:line="254" w:lineRule="auto"/>
        <w:ind w:hanging="403"/>
      </w:pPr>
      <w:r>
        <w:rPr>
          <w:rFonts w:ascii="Arial" w:eastAsia="Arial" w:hAnsi="Arial" w:cs="Arial"/>
          <w:sz w:val="24"/>
        </w:rPr>
        <w:t xml:space="preserve">Diabetul zaharat-afectiune metabolica. Diagnosticul prin examenul sumarului de urina si determinarea glicemiei;   </w:t>
      </w:r>
    </w:p>
    <w:p w:rsidR="006F799B" w:rsidRDefault="00832DC7">
      <w:pPr>
        <w:numPr>
          <w:ilvl w:val="0"/>
          <w:numId w:val="1"/>
        </w:numPr>
        <w:spacing w:after="8" w:line="254" w:lineRule="auto"/>
        <w:ind w:hanging="403"/>
      </w:pPr>
      <w:r>
        <w:rPr>
          <w:rFonts w:ascii="Arial" w:eastAsia="Arial" w:hAnsi="Arial" w:cs="Arial"/>
          <w:sz w:val="24"/>
        </w:rPr>
        <w:t xml:space="preserve">Enzime cu importanta diagnostica: transaminaze, fosfataze.  MICROBIOLOGIE:   </w:t>
      </w:r>
    </w:p>
    <w:p w:rsidR="006F799B" w:rsidRDefault="00832DC7">
      <w:pPr>
        <w:spacing w:after="0"/>
        <w:ind w:left="14"/>
      </w:pPr>
      <w:r>
        <w:rPr>
          <w:rFonts w:ascii="Arial" w:eastAsia="Arial" w:hAnsi="Arial" w:cs="Arial"/>
          <w:sz w:val="24"/>
        </w:rPr>
        <w:t xml:space="preserve"> </w:t>
      </w:r>
    </w:p>
    <w:p w:rsidR="00832DC7" w:rsidRPr="00832DC7" w:rsidRDefault="00832DC7" w:rsidP="00832DC7">
      <w:pPr>
        <w:spacing w:after="15" w:line="249" w:lineRule="auto"/>
        <w:ind w:left="-5" w:hanging="10"/>
        <w:jc w:val="both"/>
        <w:rPr>
          <w:rFonts w:ascii="Arial" w:eastAsia="Times New Roman" w:hAnsi="Arial" w:cs="Arial"/>
          <w:sz w:val="24"/>
        </w:rPr>
      </w:pPr>
      <w:r w:rsidRPr="00832DC7">
        <w:rPr>
          <w:rFonts w:ascii="Arial" w:eastAsia="Times New Roman" w:hAnsi="Arial" w:cs="Arial"/>
          <w:b/>
          <w:sz w:val="24"/>
        </w:rPr>
        <w:t xml:space="preserve">Bibliografie: </w:t>
      </w:r>
      <w:r w:rsidRPr="00832DC7">
        <w:rPr>
          <w:rFonts w:ascii="Arial" w:eastAsia="Times New Roman" w:hAnsi="Arial" w:cs="Arial"/>
          <w:sz w:val="24"/>
        </w:rPr>
        <w:t xml:space="preserve"> </w:t>
      </w:r>
    </w:p>
    <w:p w:rsidR="00832DC7" w:rsidRPr="00832DC7" w:rsidRDefault="00832DC7" w:rsidP="00832DC7">
      <w:pPr>
        <w:pStyle w:val="ListParagraph"/>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Apăteanu Vlad - Recoltarea, conservarea şi transfuzia de sânge, Editura Medicală Bucureşti 1997;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Aramă Sorin Ştefan - Explorări funcţionale, Ediţia a-II-a revizuită, Editura Cermaprint, Bucureşti 2007;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Enache Florica, Stuparu Maria - Diagnosticul de laborator în hemostaza, Editura ALL, Bucureşti 1998;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Lotreanu Victor - Analize medicale, Editura CNI, Bucureşti 2000;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Mihele Denisa - Biochimie clinică - metode de laborator, Editura Medicală, Bucureşti, </w:t>
      </w:r>
    </w:p>
    <w:p w:rsidR="00832DC7" w:rsidRPr="00832DC7" w:rsidRDefault="00832DC7" w:rsidP="00832DC7">
      <w:pPr>
        <w:spacing w:after="15" w:line="249" w:lineRule="auto"/>
        <w:ind w:left="426"/>
        <w:jc w:val="both"/>
        <w:rPr>
          <w:rFonts w:ascii="Arial" w:eastAsia="Times New Roman" w:hAnsi="Arial" w:cs="Arial"/>
          <w:color w:val="auto"/>
          <w:sz w:val="24"/>
        </w:rPr>
      </w:pPr>
      <w:r w:rsidRPr="00832DC7">
        <w:rPr>
          <w:rFonts w:ascii="Arial" w:eastAsia="Times New Roman" w:hAnsi="Arial" w:cs="Arial"/>
          <w:color w:val="auto"/>
          <w:sz w:val="24"/>
        </w:rPr>
        <w:t xml:space="preserve">2000;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Mody Eugen şi colaboratorii - Biochimie clinică, Editura ALL, Bucureşti, 2000;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Popescu Mut Delia - Hematologia clinică - Editura Medicală Bucureşti, 2001;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Sajin Maria, Adrian Costache - Curs de anatomie patologică - Ediţia a-II-a revizuită, Editura Cermaprint, Bucureşti, 2005;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Legea nr. 46/2003 privind drepturile pacientului, publicată în Monitorul Oficial al României, partea I, nr. 51 din 29 ianuarie 2003, cu modificările şi completările ulterioare;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lastRenderedPageBreak/>
        <w:t xml:space="preserve">Ordinul ministrului sănătăţii nr. 1410/2016 privind aprobarea Normelor de aplicare a Legii drepturilor pacientului nr. 46/2003, publicat în Monitorul Oficial al României Partea I, nr. 1009 din 15 decembrie 2016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Ordinul ministrului sănătăţii publice nr. 1101/30 septembrie 2016 privind aprobarea Normelor de supraveghere, prevenire şi limitare a infecţiilor asociate asistenţei medicale în unităţile sanitare, publicat în Monitorul Oficial al României, partea I, nr. 791 din 7 octombrie 2016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Ordonanţa de Urgenţă a Guvernului nr. 144/28.10.2008 privind exercitarea profesiei de asistent medical generalist, a profesiei de moaşă şi a profesiei de asistent medical, precum si organizarea şi funcţionarea Ordinului Asistenţilor Medicali Generalişti, Moaşelor şi Asistenţilor Medicali din România, publicată în Monitorul Oficial al României, partea I, nr.785 din 24.11.2008, aprobată prin Legea 53/2014, cu modificările şi completările </w:t>
      </w:r>
    </w:p>
    <w:p w:rsidR="00832DC7" w:rsidRPr="00832DC7" w:rsidRDefault="00832DC7" w:rsidP="00832DC7">
      <w:pPr>
        <w:spacing w:after="15" w:line="249" w:lineRule="auto"/>
        <w:ind w:left="426"/>
        <w:jc w:val="both"/>
        <w:rPr>
          <w:rFonts w:ascii="Arial" w:eastAsia="Times New Roman" w:hAnsi="Arial" w:cs="Arial"/>
          <w:color w:val="auto"/>
          <w:sz w:val="24"/>
        </w:rPr>
      </w:pPr>
      <w:r w:rsidRPr="00832DC7">
        <w:rPr>
          <w:rFonts w:ascii="Arial" w:eastAsia="Times New Roman" w:hAnsi="Arial" w:cs="Arial"/>
          <w:color w:val="auto"/>
          <w:sz w:val="24"/>
        </w:rPr>
        <w:t xml:space="preserve">ulterioare;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Codul de etică si deontologie al asistentului medical generalist, al moaşei şi al asistentului medical din România, adoptat prin Hotărârea Adunării generale naţionale a Ordinului Asistenţilor Medicali Generalişti, Moaşelor şi Asistenţilor Medicali din România nr. 2/9 iulie 2009, publicată în Monitorul Oficial al României, partea I, nr. 560 din 12 august 2009;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Ordinul ministrului sănătăţii nr. 1226/03 decembrie 2012 pentru aprobarea Normelor tehnice privind gestionarea deşeurilor rezultate din activităţi medicale şi a Metodologiei de culegere a datelor pentru baza naţională de date privind deşeurile rezultate din activităţi medicale, publicat în Monitorul Oficial al României, partea I, nr. 855 din 18 decembrie 2012;  </w:t>
      </w:r>
    </w:p>
    <w:p w:rsidR="00832DC7" w:rsidRPr="00832DC7" w:rsidRDefault="00832DC7" w:rsidP="00832DC7">
      <w:pPr>
        <w:numPr>
          <w:ilvl w:val="0"/>
          <w:numId w:val="5"/>
        </w:numPr>
        <w:spacing w:after="15" w:line="249" w:lineRule="auto"/>
        <w:ind w:left="426" w:hanging="425"/>
        <w:jc w:val="both"/>
        <w:rPr>
          <w:rFonts w:ascii="Arial" w:eastAsia="Times New Roman" w:hAnsi="Arial" w:cs="Arial"/>
          <w:color w:val="auto"/>
          <w:sz w:val="24"/>
        </w:rPr>
      </w:pPr>
      <w:r w:rsidRPr="00832DC7">
        <w:rPr>
          <w:rFonts w:ascii="Arial" w:eastAsia="Times New Roman" w:hAnsi="Arial" w:cs="Arial"/>
          <w:color w:val="auto"/>
          <w:sz w:val="24"/>
        </w:rPr>
        <w:t xml:space="preserve">Ordinul ministrului sănătăţii nr. 961/19 august 2016 pentru aprobarea Normelor tehnice privind curăţarea, dezinfecţia şi sterilizarea în unităţile sanitare publice şi private, tehnicii de lucru şi interpretare pentru testele de evaluare a eficienţei procedurii de curăţenie şi dezinfecţie, procedurilor recomandate pentru dezinfecţia mâinilor, în funcţie de nivelul de risc, metodelor de aplicare a dezinfectantelor chimice în funcţie de suportul care urmează să fie tratat şi a metodelor de evaluare a derulării şi eficienţei procesului de sterilizare;  </w:t>
      </w:r>
    </w:p>
    <w:p w:rsidR="006F799B" w:rsidRDefault="00832DC7">
      <w:pPr>
        <w:spacing w:after="0"/>
        <w:ind w:left="14"/>
      </w:pPr>
      <w:r>
        <w:rPr>
          <w:rFonts w:ascii="Arial" w:eastAsia="Arial" w:hAnsi="Arial" w:cs="Arial"/>
          <w:sz w:val="24"/>
        </w:rPr>
        <w:t xml:space="preserve"> </w:t>
      </w:r>
    </w:p>
    <w:sectPr w:rsidR="006F799B">
      <w:pgSz w:w="11906" w:h="17340"/>
      <w:pgMar w:top="1440" w:right="894" w:bottom="1440" w:left="13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A40"/>
    <w:multiLevelType w:val="hybridMultilevel"/>
    <w:tmpl w:val="ECDEA044"/>
    <w:lvl w:ilvl="0" w:tplc="BBC28E32">
      <w:start w:val="10"/>
      <w:numFmt w:val="decimal"/>
      <w:lvlText w:val="%1."/>
      <w:lvlJc w:val="left"/>
      <w:pPr>
        <w:ind w:left="506"/>
      </w:pPr>
      <w:rPr>
        <w:rFonts w:ascii="Arial" w:eastAsia="Times New Roman" w:hAnsi="Arial" w:cs="Arial"/>
        <w:b w:val="0"/>
        <w:i w:val="0"/>
        <w:strike w:val="0"/>
        <w:dstrike w:val="0"/>
        <w:color w:val="000000"/>
        <w:sz w:val="24"/>
        <w:szCs w:val="24"/>
        <w:u w:val="none" w:color="000000"/>
        <w:vertAlign w:val="baseline"/>
      </w:rPr>
    </w:lvl>
    <w:lvl w:ilvl="1" w:tplc="B336B5E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255CA7EA">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5142C3BA">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412CC602">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F366460C">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9126F1AA">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86A4B7C8">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26247E2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1" w15:restartNumberingAfterBreak="0">
    <w:nsid w:val="2CF272D2"/>
    <w:multiLevelType w:val="hybridMultilevel"/>
    <w:tmpl w:val="6F5802B8"/>
    <w:lvl w:ilvl="0" w:tplc="A308FAC4">
      <w:start w:val="1"/>
      <w:numFmt w:val="decimal"/>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F01C1A1E">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3D1CE3A0">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2924D476">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53AEB742">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E376D5A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7E46DFAE">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9288E61E">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C54C76B8">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2" w15:restartNumberingAfterBreak="0">
    <w:nsid w:val="73194A46"/>
    <w:multiLevelType w:val="hybridMultilevel"/>
    <w:tmpl w:val="336E4E2C"/>
    <w:lvl w:ilvl="0" w:tplc="63B6B994">
      <w:start w:val="1"/>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6E1C28">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ECBEA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B0CA00">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7E8D46">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8CDBD6">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D4F9E4">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8B43A">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2AFD30">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9E179B"/>
    <w:multiLevelType w:val="hybridMultilevel"/>
    <w:tmpl w:val="0B8E95BC"/>
    <w:lvl w:ilvl="0" w:tplc="0418000F">
      <w:start w:val="1"/>
      <w:numFmt w:val="decimal"/>
      <w:lvlText w:val="%1."/>
      <w:lvlJc w:val="left"/>
      <w:pPr>
        <w:ind w:left="705" w:hanging="360"/>
      </w:p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4" w15:restartNumberingAfterBreak="0">
    <w:nsid w:val="7EA432B1"/>
    <w:multiLevelType w:val="hybridMultilevel"/>
    <w:tmpl w:val="00366E06"/>
    <w:lvl w:ilvl="0" w:tplc="777E9D50">
      <w:start w:val="1"/>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54FE8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7EC45C">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909094">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162646">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B027C4">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AAF730">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747D24">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4C607C">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9B"/>
    <w:rsid w:val="006F799B"/>
    <w:rsid w:val="00832D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309F"/>
  <w15:docId w15:val="{753542BA-D6D5-469F-A52D-50340B82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678</Words>
  <Characters>3934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Docan</dc:creator>
  <cp:keywords/>
  <cp:lastModifiedBy>user</cp:lastModifiedBy>
  <cp:revision>3</cp:revision>
  <cp:lastPrinted>2021-05-20T10:29:00Z</cp:lastPrinted>
  <dcterms:created xsi:type="dcterms:W3CDTF">2021-05-20T10:29:00Z</dcterms:created>
  <dcterms:modified xsi:type="dcterms:W3CDTF">2021-05-20T10:29:00Z</dcterms:modified>
</cp:coreProperties>
</file>