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EAE" w:rsidRPr="00105617" w:rsidRDefault="008B2CB3" w:rsidP="00821D0F">
      <w:pPr>
        <w:tabs>
          <w:tab w:val="left" w:pos="2269"/>
          <w:tab w:val="center" w:pos="4348"/>
        </w:tabs>
        <w:spacing w:after="0" w:line="259" w:lineRule="auto"/>
        <w:ind w:left="0" w:right="6" w:firstLine="0"/>
        <w:jc w:val="left"/>
        <w:rPr>
          <w:lang w:val="ro-RO"/>
        </w:rPr>
      </w:pPr>
      <w:r w:rsidRPr="00105617">
        <w:rPr>
          <w:b/>
          <w:lang w:val="ro-RO"/>
        </w:rPr>
        <w:t xml:space="preserve"> </w:t>
      </w:r>
    </w:p>
    <w:p w:rsidR="00821D0F" w:rsidRPr="00105617" w:rsidRDefault="00821D0F">
      <w:pPr>
        <w:spacing w:after="0" w:line="259" w:lineRule="auto"/>
        <w:ind w:left="0" w:firstLine="0"/>
        <w:jc w:val="right"/>
        <w:rPr>
          <w:b/>
          <w:lang w:val="ro-RO"/>
        </w:rPr>
      </w:pPr>
    </w:p>
    <w:p w:rsidR="003F1EAE" w:rsidRPr="00105617" w:rsidRDefault="008B2CB3">
      <w:pPr>
        <w:spacing w:after="0" w:line="259" w:lineRule="auto"/>
        <w:ind w:left="0" w:firstLine="0"/>
        <w:jc w:val="right"/>
        <w:rPr>
          <w:sz w:val="22"/>
          <w:lang w:val="ro-RO"/>
        </w:rPr>
      </w:pPr>
      <w:r w:rsidRPr="00105617">
        <w:rPr>
          <w:b/>
          <w:sz w:val="22"/>
          <w:lang w:val="ro-RO"/>
        </w:rPr>
        <w:t>Nr.</w:t>
      </w:r>
      <w:r w:rsidR="00105617" w:rsidRPr="00105617">
        <w:rPr>
          <w:b/>
          <w:sz w:val="22"/>
          <w:lang w:val="ro-RO"/>
        </w:rPr>
        <w:t>inreg. IOCN</w:t>
      </w:r>
      <w:r w:rsidRPr="00105617">
        <w:rPr>
          <w:b/>
          <w:sz w:val="22"/>
          <w:lang w:val="ro-RO"/>
        </w:rPr>
        <w:t xml:space="preserve"> </w:t>
      </w:r>
      <w:r w:rsidR="00105617" w:rsidRPr="00105617">
        <w:rPr>
          <w:b/>
          <w:sz w:val="22"/>
          <w:lang w:val="ro-RO"/>
        </w:rPr>
        <w:t>10753/04.11.2025</w:t>
      </w:r>
      <w:r w:rsidRPr="00105617">
        <w:rPr>
          <w:b/>
          <w:sz w:val="22"/>
          <w:lang w:val="ro-RO"/>
        </w:rPr>
        <w:t xml:space="preserve"> </w:t>
      </w:r>
    </w:p>
    <w:p w:rsidR="003F1EAE" w:rsidRPr="00105617" w:rsidRDefault="008B2CB3" w:rsidP="00821D0F">
      <w:pPr>
        <w:spacing w:after="115" w:line="259" w:lineRule="auto"/>
        <w:ind w:left="0" w:right="0" w:firstLine="0"/>
        <w:rPr>
          <w:lang w:val="ro-RO"/>
        </w:rPr>
      </w:pPr>
      <w:r w:rsidRPr="00105617">
        <w:rPr>
          <w:b/>
          <w:lang w:val="ro-RO"/>
        </w:rPr>
        <w:t xml:space="preserve"> </w:t>
      </w:r>
    </w:p>
    <w:p w:rsidR="00105617" w:rsidRPr="00105617" w:rsidRDefault="00105617" w:rsidP="00105617">
      <w:pPr>
        <w:spacing w:after="53" w:line="356" w:lineRule="auto"/>
        <w:ind w:right="0"/>
        <w:jc w:val="center"/>
        <w:rPr>
          <w:b/>
          <w:lang w:val="ro-RO"/>
        </w:rPr>
      </w:pPr>
      <w:r w:rsidRPr="00105617">
        <w:rPr>
          <w:rFonts w:eastAsia="Courier New"/>
          <w:b/>
          <w:lang w:val="ro-RO" w:eastAsia="ro-RO" w:bidi="ro-RO"/>
        </w:rPr>
        <w:t>ANUNȚ</w:t>
      </w:r>
      <w:r w:rsidRPr="00105617">
        <w:rPr>
          <w:b/>
          <w:lang w:val="ro-RO"/>
        </w:rPr>
        <w:t xml:space="preserve"> CU PRIVIRE LA REZULTATUL FINAL AL PROCEDURII DE SELECȚIE A UNUI </w:t>
      </w:r>
      <w:r w:rsidRPr="00105617">
        <w:rPr>
          <w:rFonts w:eastAsia="Courier New"/>
          <w:b/>
          <w:lang w:val="ro-RO" w:eastAsia="ro-RO" w:bidi="ro-RO"/>
        </w:rPr>
        <w:t>PARTENER PRIVAT</w:t>
      </w:r>
      <w:r>
        <w:rPr>
          <w:rFonts w:eastAsia="Courier New"/>
          <w:b/>
          <w:lang w:val="ro-RO" w:eastAsia="ro-RO" w:bidi="ro-RO"/>
        </w:rPr>
        <w:t xml:space="preserve">- </w:t>
      </w:r>
      <w:r w:rsidRPr="00105617">
        <w:rPr>
          <w:rFonts w:eastAsia="Courier New"/>
          <w:b/>
          <w:lang w:val="ro-RO" w:eastAsia="ro-RO" w:bidi="ro-RO"/>
        </w:rPr>
        <w:t xml:space="preserve"> IMM PENTRU PROIECTUL cu titlul „CREAREA, OPERAȚIONALIZAREA ȘI DEZVOLTAREA CENTRULUI NAȚIONAL DE COMPETENȚĂ ÎN DOMENIUL CANCERULUI (CNCC)” finanțat din </w:t>
      </w:r>
      <w:r w:rsidRPr="00105617">
        <w:rPr>
          <w:rFonts w:eastAsia="Courier New"/>
          <w:b/>
          <w:bCs/>
          <w:lang w:val="ro-RO" w:eastAsia="ro-RO" w:bidi="ro-RO"/>
        </w:rPr>
        <w:t xml:space="preserve">Planul National de Redresare si Reziliență, Investiția I5. Înființarea și operaționalizarea Centrelor de Competență </w:t>
      </w:r>
      <w:r w:rsidRPr="00105617">
        <w:rPr>
          <w:rFonts w:eastAsia="Courier New"/>
          <w:b/>
          <w:lang w:val="ro-RO" w:eastAsia="ro-RO" w:bidi="ro-RO"/>
        </w:rPr>
        <w:t>Componenta 9. Suport pentru sectorul privat, cercetare, dezvoltare și inovare din PNRR.</w:t>
      </w:r>
    </w:p>
    <w:p w:rsidR="00821D0F" w:rsidRPr="00105617" w:rsidRDefault="00821D0F" w:rsidP="00105617">
      <w:pPr>
        <w:spacing w:after="53" w:line="356" w:lineRule="auto"/>
        <w:ind w:left="0" w:right="0" w:firstLine="0"/>
        <w:rPr>
          <w:b/>
          <w:sz w:val="22"/>
          <w:lang w:val="ro-RO"/>
        </w:rPr>
      </w:pPr>
    </w:p>
    <w:p w:rsidR="00105617" w:rsidRPr="00105617" w:rsidRDefault="00105617" w:rsidP="00105617">
      <w:pPr>
        <w:widowControl w:val="0"/>
        <w:spacing w:afterLines="80" w:after="192" w:line="240" w:lineRule="auto"/>
        <w:rPr>
          <w:rFonts w:eastAsia="Trebuchet MS"/>
          <w:lang w:val="ro-RO" w:eastAsia="ro-RO" w:bidi="ro-RO"/>
        </w:rPr>
      </w:pPr>
      <w:r w:rsidRPr="00105617">
        <w:rPr>
          <w:rFonts w:eastAsia="Trebuchet MS"/>
          <w:lang w:val="ro-RO" w:eastAsia="ro-RO" w:bidi="ro-RO"/>
        </w:rPr>
        <w:t>În conformitate cu</w:t>
      </w:r>
      <w:r w:rsidRPr="00105617">
        <w:rPr>
          <w:sz w:val="22"/>
          <w:lang w:val="ro-RO"/>
        </w:rPr>
        <w:t xml:space="preserve"> </w:t>
      </w:r>
      <w:r w:rsidRPr="00105617">
        <w:rPr>
          <w:szCs w:val="24"/>
          <w:lang w:val="ro-RO"/>
        </w:rPr>
        <w:t>prevederile</w:t>
      </w:r>
      <w:r w:rsidRPr="00105617">
        <w:rPr>
          <w:rFonts w:eastAsia="Trebuchet MS"/>
          <w:szCs w:val="24"/>
          <w:lang w:val="ro-RO" w:eastAsia="ro-RO" w:bidi="ro-RO"/>
        </w:rPr>
        <w:t>:</w:t>
      </w:r>
    </w:p>
    <w:p w:rsidR="00105617" w:rsidRPr="00105617" w:rsidRDefault="00105617" w:rsidP="00105617">
      <w:pPr>
        <w:widowControl w:val="0"/>
        <w:numPr>
          <w:ilvl w:val="0"/>
          <w:numId w:val="5"/>
        </w:numPr>
        <w:tabs>
          <w:tab w:val="left" w:pos="295"/>
        </w:tabs>
        <w:spacing w:afterLines="80" w:after="192" w:line="240" w:lineRule="auto"/>
        <w:ind w:left="0" w:right="0" w:firstLine="0"/>
        <w:rPr>
          <w:rFonts w:eastAsia="Trebuchet MS"/>
          <w:lang w:val="ro-RO" w:eastAsia="ro-RO" w:bidi="ro-RO"/>
        </w:rPr>
      </w:pPr>
      <w:bookmarkStart w:id="0" w:name="bookmark3"/>
      <w:bookmarkEnd w:id="0"/>
      <w:r w:rsidRPr="00105617">
        <w:rPr>
          <w:rFonts w:eastAsia="Trebuchet MS"/>
          <w:lang w:val="ro-RO" w:eastAsia="ro-RO" w:bidi="ro-RO"/>
        </w:rPr>
        <w:t>Art. 33 si 34 din OUG Nr. 133/2021 din 17 decembrie 2021 privind gestionarea financiarä a fondurilor europene pentru perioada de programare 2021 - 2027 alocate României din Fondul european de dezvoltare regionalä, Fondul de coeziune, Fondul social european Plus, Fondul pentru o tranzitie justa;</w:t>
      </w:r>
    </w:p>
    <w:p w:rsidR="00105617" w:rsidRPr="00105617" w:rsidRDefault="00105617" w:rsidP="00105617">
      <w:pPr>
        <w:widowControl w:val="0"/>
        <w:numPr>
          <w:ilvl w:val="0"/>
          <w:numId w:val="5"/>
        </w:numPr>
        <w:tabs>
          <w:tab w:val="left" w:pos="295"/>
        </w:tabs>
        <w:spacing w:afterLines="80" w:after="192" w:line="240" w:lineRule="auto"/>
        <w:ind w:left="0" w:right="0" w:firstLine="0"/>
        <w:rPr>
          <w:rFonts w:eastAsia="Trebuchet MS"/>
          <w:lang w:val="ro-RO" w:eastAsia="ro-RO" w:bidi="ro-RO"/>
        </w:rPr>
      </w:pPr>
      <w:r w:rsidRPr="00105617">
        <w:rPr>
          <w:rFonts w:eastAsia="Trebuchet MS"/>
          <w:lang w:val="ro-RO" w:eastAsia="ro-RO" w:bidi="ro-RO"/>
        </w:rPr>
        <w:t>Art. 46, alin. (7) (8) din HG Nr. 829/2022 din 27 iunie 2022 pentru aprobarea Normelor metodologice de aplicare a Ordonantei de urgentä a Guvemului nr. 133/2021 privind gestionarea financiarä a fondurilor europene pentru perioada de programare 2021 — 2027 alocate României din Fondul european de dezvoltare regionalä, Fondul de coeziune, Fondul social european Plus, Fondul pentru o tranzitie justa;</w:t>
      </w:r>
    </w:p>
    <w:p w:rsidR="00105617" w:rsidRPr="00105617" w:rsidRDefault="00105617" w:rsidP="00105617">
      <w:pPr>
        <w:widowControl w:val="0"/>
        <w:numPr>
          <w:ilvl w:val="0"/>
          <w:numId w:val="5"/>
        </w:numPr>
        <w:tabs>
          <w:tab w:val="left" w:pos="295"/>
        </w:tabs>
        <w:spacing w:afterLines="80" w:after="192" w:line="240" w:lineRule="auto"/>
        <w:ind w:left="0" w:right="0" w:firstLine="0"/>
        <w:rPr>
          <w:rFonts w:eastAsia="Trebuchet MS"/>
          <w:lang w:val="ro-RO" w:eastAsia="ro-RO" w:bidi="ro-RO"/>
        </w:rPr>
      </w:pPr>
      <w:r w:rsidRPr="00105617">
        <w:rPr>
          <w:rFonts w:eastAsia="Trebuchet MS"/>
          <w:lang w:val="ro-RO" w:eastAsia="ro-RO" w:bidi="ro-RO"/>
        </w:rPr>
        <w:t>Art. 2 lit. jj), art. 11, art. 27 și art. 28 din OUG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rsidR="00105617" w:rsidRPr="00105617" w:rsidRDefault="00105617" w:rsidP="00105617">
      <w:pPr>
        <w:widowControl w:val="0"/>
        <w:numPr>
          <w:ilvl w:val="0"/>
          <w:numId w:val="5"/>
        </w:numPr>
        <w:tabs>
          <w:tab w:val="left" w:pos="295"/>
        </w:tabs>
        <w:spacing w:afterLines="80" w:after="192" w:line="240" w:lineRule="auto"/>
        <w:ind w:left="0" w:right="0" w:firstLine="0"/>
        <w:rPr>
          <w:rFonts w:eastAsia="Trebuchet MS"/>
          <w:lang w:val="ro-RO" w:eastAsia="ro-RO" w:bidi="ro-RO"/>
        </w:rPr>
      </w:pPr>
      <w:bookmarkStart w:id="1" w:name="bookmark4"/>
      <w:bookmarkEnd w:id="1"/>
      <w:r w:rsidRPr="00105617">
        <w:rPr>
          <w:rFonts w:eastAsia="Trebuchet MS"/>
          <w:lang w:val="ro-RO" w:eastAsia="ro-RO" w:bidi="ro-RO"/>
        </w:rPr>
        <w:t>Art. 23, 24 și 25 din HG nr. 209/2022 pentru aprobarea Normelor metodologice de aplicare a prevederilor Ordonanței de urgență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rambursabile și nerambursabile în cadrul Mecanismului de redresare și reziliență,</w:t>
      </w:r>
    </w:p>
    <w:p w:rsidR="00105617" w:rsidRPr="00105617" w:rsidRDefault="00105617" w:rsidP="00105617">
      <w:pPr>
        <w:widowControl w:val="0"/>
        <w:numPr>
          <w:ilvl w:val="0"/>
          <w:numId w:val="5"/>
        </w:numPr>
        <w:tabs>
          <w:tab w:val="left" w:pos="295"/>
        </w:tabs>
        <w:spacing w:afterLines="80" w:after="192" w:line="240" w:lineRule="auto"/>
        <w:ind w:left="0" w:right="0" w:firstLine="0"/>
        <w:rPr>
          <w:rFonts w:eastAsia="Trebuchet MS"/>
          <w:lang w:val="ro-RO" w:eastAsia="ro-RO" w:bidi="ro-RO"/>
        </w:rPr>
      </w:pPr>
      <w:r w:rsidRPr="00105617">
        <w:rPr>
          <w:rFonts w:eastAsia="Trebuchet MS"/>
          <w:lang w:val="ro-RO" w:eastAsia="ro-RO" w:bidi="ro-RO"/>
        </w:rPr>
        <w:t>Ordinul nr. 21451/2022 privind aprobarea Schemei de ajutor de stat "Centrul de competenţă", aferentă Planului naţional de redresare şi rezilienţă al României, pilonul III, componenta C9 "Suport pentru sectorul privat, cercetare, dezvoltare şi inovare", investiţia 5 "Înfiinţarea şi operaţionalizarea centrelor de competenţă"</w:t>
      </w:r>
    </w:p>
    <w:p w:rsidR="00105617" w:rsidRPr="00105617" w:rsidRDefault="00105617" w:rsidP="00105617">
      <w:pPr>
        <w:widowControl w:val="0"/>
        <w:numPr>
          <w:ilvl w:val="0"/>
          <w:numId w:val="5"/>
        </w:numPr>
        <w:tabs>
          <w:tab w:val="left" w:pos="295"/>
        </w:tabs>
        <w:spacing w:afterLines="80" w:after="192" w:line="240" w:lineRule="auto"/>
        <w:ind w:left="0" w:right="0" w:firstLine="0"/>
        <w:rPr>
          <w:rFonts w:eastAsia="Trebuchet MS"/>
          <w:lang w:val="ro-RO" w:eastAsia="ro-RO" w:bidi="ro-RO"/>
        </w:rPr>
      </w:pPr>
      <w:r w:rsidRPr="00105617">
        <w:rPr>
          <w:rFonts w:eastAsia="Trebuchet MS"/>
          <w:lang w:val="ro-RO" w:eastAsia="ro-RO" w:bidi="ro-RO"/>
        </w:rPr>
        <w:t xml:space="preserve">Ghidul Aplicantului 2022 - PLANUL NATIONAL DE REDRESARE SI REZILIENȚĂ, Pilonul III. Creștere inteligentă, sustenabilă și favorabilă incluziunii, inclusiv coeziune economică, locuri de muncă, productivitate, competitivitate, cercetare, dezvoltare și inovare, precum și o piață internă funcțională, cu întreprinderi mici și mijlocii (IMM-uri) puternice COMPONENTA C9. - SUPORT PENTRU SECTORUL PRIVAT, </w:t>
      </w:r>
      <w:r w:rsidRPr="00105617">
        <w:rPr>
          <w:rFonts w:eastAsia="Trebuchet MS"/>
          <w:lang w:val="ro-RO" w:eastAsia="ro-RO" w:bidi="ro-RO"/>
        </w:rPr>
        <w:lastRenderedPageBreak/>
        <w:t>CERCETARE, DEZVOLTARE SI INOVARE, INVESTIȚIA I5. Înființarea și operaționalizarea Centrelor de Competență, Apelul de proiecte: PNRR-III-C9-2022-I5</w:t>
      </w:r>
    </w:p>
    <w:p w:rsidR="00105617" w:rsidRPr="00105617" w:rsidRDefault="00105617" w:rsidP="00105617">
      <w:pPr>
        <w:widowControl w:val="0"/>
        <w:numPr>
          <w:ilvl w:val="0"/>
          <w:numId w:val="5"/>
        </w:numPr>
        <w:tabs>
          <w:tab w:val="left" w:pos="295"/>
        </w:tabs>
        <w:spacing w:afterLines="80" w:after="192" w:line="240" w:lineRule="auto"/>
        <w:ind w:left="0" w:right="0" w:firstLine="0"/>
        <w:rPr>
          <w:rFonts w:eastAsia="Trebuchet MS"/>
          <w:lang w:val="ro-RO" w:eastAsia="ro-RO" w:bidi="ro-RO"/>
        </w:rPr>
      </w:pPr>
      <w:r w:rsidRPr="00105617">
        <w:rPr>
          <w:rFonts w:eastAsia="Trebuchet MS"/>
          <w:lang w:val="ro-RO" w:eastAsia="ro-RO" w:bidi="ro-RO"/>
        </w:rPr>
        <w:t>Metodologia de selecție a partenerilor privați (IMM și Întreprinderi mari), în scopul încheierii unui acord de parteneriat pentru elaborarea și implementarea unui proiect finanțat din Planul National de Redresare si Reziliență, Investiția I5. Înființarea și operaționalizarea Centrelor de Competență Componenta 9. Suport pentru sectorul privat, cercetare, dezvoltare și inovare din PNRR, aprobată prin Hotărârea Consiliului de Administrație al Institutului Oncologic „Prof. Dr. Ion Chiricuță”, Cluj-Napoca, cu nr. 10610/28.10.2022</w:t>
      </w:r>
    </w:p>
    <w:p w:rsidR="00105617" w:rsidRPr="00105617" w:rsidRDefault="00105617" w:rsidP="00105617">
      <w:pPr>
        <w:widowControl w:val="0"/>
        <w:numPr>
          <w:ilvl w:val="0"/>
          <w:numId w:val="5"/>
        </w:numPr>
        <w:tabs>
          <w:tab w:val="left" w:pos="295"/>
        </w:tabs>
        <w:spacing w:afterLines="80" w:after="192" w:line="240" w:lineRule="auto"/>
        <w:ind w:left="0" w:right="0" w:firstLine="0"/>
        <w:rPr>
          <w:rFonts w:eastAsia="Trebuchet MS"/>
          <w:szCs w:val="24"/>
          <w:lang w:val="ro-RO" w:eastAsia="ro-RO" w:bidi="ro-RO"/>
        </w:rPr>
      </w:pPr>
      <w:r w:rsidRPr="00105617">
        <w:rPr>
          <w:szCs w:val="24"/>
          <w:lang w:val="ro-RO"/>
        </w:rPr>
        <w:t>Legea nr. 95/2006 privind reforma in domeniul sanatatii</w:t>
      </w:r>
      <w:r w:rsidRPr="00105617">
        <w:rPr>
          <w:szCs w:val="24"/>
        </w:rPr>
        <w:t>;</w:t>
      </w:r>
    </w:p>
    <w:p w:rsidR="00821D0F" w:rsidRPr="00105617" w:rsidRDefault="00821D0F" w:rsidP="00105617">
      <w:pPr>
        <w:ind w:left="-5" w:right="45"/>
        <w:rPr>
          <w:b/>
          <w:sz w:val="22"/>
          <w:lang w:val="ro-RO"/>
        </w:rPr>
      </w:pPr>
    </w:p>
    <w:p w:rsidR="00105617" w:rsidRDefault="005F6C2E" w:rsidP="00821D0F">
      <w:pPr>
        <w:ind w:left="12" w:right="127"/>
        <w:rPr>
          <w:b/>
          <w:sz w:val="22"/>
          <w:lang w:val="ro-RO"/>
        </w:rPr>
      </w:pPr>
      <w:r w:rsidRPr="00105617">
        <w:rPr>
          <w:b/>
          <w:sz w:val="22"/>
          <w:lang w:val="ro-RO"/>
        </w:rPr>
        <w:t>Institutul Oncologic</w:t>
      </w:r>
      <w:r w:rsidR="00105617">
        <w:rPr>
          <w:b/>
          <w:sz w:val="22"/>
          <w:lang w:val="ro-RO"/>
        </w:rPr>
        <w:t xml:space="preserve"> “Prof. Dr. Ion Chiricuță” Cluj-</w:t>
      </w:r>
      <w:r w:rsidRPr="00105617">
        <w:rPr>
          <w:b/>
          <w:sz w:val="22"/>
          <w:lang w:val="ro-RO"/>
        </w:rPr>
        <w:t xml:space="preserve">Napoca </w:t>
      </w:r>
      <w:r w:rsidR="003E3A93" w:rsidRPr="00105617">
        <w:rPr>
          <w:b/>
          <w:sz w:val="22"/>
          <w:lang w:val="ro-RO"/>
        </w:rPr>
        <w:t xml:space="preserve">anunta rezultatul final al procedurii de selecție a unui partener privat – </w:t>
      </w:r>
      <w:r w:rsidR="00105617">
        <w:rPr>
          <w:b/>
          <w:sz w:val="22"/>
          <w:lang w:val="ro-RO"/>
        </w:rPr>
        <w:t xml:space="preserve">IMM- pentru proiectul </w:t>
      </w:r>
      <w:r w:rsidR="00105617">
        <w:t>„</w:t>
      </w:r>
      <w:proofErr w:type="spellStart"/>
      <w:r w:rsidR="00105617">
        <w:t>C</w:t>
      </w:r>
      <w:r w:rsidR="00105617">
        <w:t>rearea</w:t>
      </w:r>
      <w:proofErr w:type="spellEnd"/>
      <w:r w:rsidR="00105617">
        <w:t xml:space="preserve">, </w:t>
      </w:r>
      <w:proofErr w:type="spellStart"/>
      <w:r w:rsidR="00105617">
        <w:t>operaționalizarea</w:t>
      </w:r>
      <w:proofErr w:type="spellEnd"/>
      <w:r w:rsidR="00105617">
        <w:t xml:space="preserve"> </w:t>
      </w:r>
      <w:proofErr w:type="spellStart"/>
      <w:r w:rsidR="00105617">
        <w:t>și</w:t>
      </w:r>
      <w:proofErr w:type="spellEnd"/>
      <w:r w:rsidR="00105617">
        <w:t xml:space="preserve"> </w:t>
      </w:r>
      <w:proofErr w:type="spellStart"/>
      <w:r w:rsidR="00105617">
        <w:t>dezvoltarea</w:t>
      </w:r>
      <w:proofErr w:type="spellEnd"/>
      <w:r w:rsidR="00105617">
        <w:t xml:space="preserve"> </w:t>
      </w:r>
      <w:proofErr w:type="spellStart"/>
      <w:r w:rsidR="00105617">
        <w:t>centrului</w:t>
      </w:r>
      <w:proofErr w:type="spellEnd"/>
      <w:r w:rsidR="00105617">
        <w:t xml:space="preserve"> </w:t>
      </w:r>
      <w:proofErr w:type="spellStart"/>
      <w:r w:rsidR="00105617">
        <w:t>național</w:t>
      </w:r>
      <w:proofErr w:type="spellEnd"/>
      <w:r w:rsidR="00105617">
        <w:t xml:space="preserve"> de </w:t>
      </w:r>
      <w:proofErr w:type="spellStart"/>
      <w:r w:rsidR="00105617">
        <w:t>competență</w:t>
      </w:r>
      <w:proofErr w:type="spellEnd"/>
      <w:r w:rsidR="00105617">
        <w:t xml:space="preserve"> </w:t>
      </w:r>
      <w:proofErr w:type="spellStart"/>
      <w:r w:rsidR="00105617">
        <w:t>în</w:t>
      </w:r>
      <w:proofErr w:type="spellEnd"/>
      <w:r w:rsidR="00105617">
        <w:t xml:space="preserve"> </w:t>
      </w:r>
      <w:proofErr w:type="spellStart"/>
      <w:r w:rsidR="00105617">
        <w:t>domeniul</w:t>
      </w:r>
      <w:proofErr w:type="spellEnd"/>
      <w:r w:rsidR="00105617">
        <w:t xml:space="preserve"> </w:t>
      </w:r>
      <w:proofErr w:type="spellStart"/>
      <w:r w:rsidR="00105617">
        <w:t>cancerului</w:t>
      </w:r>
      <w:proofErr w:type="spellEnd"/>
      <w:r w:rsidR="00105617">
        <w:t xml:space="preserve"> (</w:t>
      </w:r>
      <w:r w:rsidR="00105617">
        <w:t xml:space="preserve">CNCC)” </w:t>
      </w:r>
      <w:proofErr w:type="spellStart"/>
      <w:r w:rsidR="00105617">
        <w:t>finanțat</w:t>
      </w:r>
      <w:proofErr w:type="spellEnd"/>
      <w:r w:rsidR="00105617">
        <w:t xml:space="preserve"> din </w:t>
      </w:r>
      <w:proofErr w:type="spellStart"/>
      <w:r w:rsidR="00105617">
        <w:t>Planul</w:t>
      </w:r>
      <w:proofErr w:type="spellEnd"/>
      <w:r w:rsidR="00105617">
        <w:t xml:space="preserve"> </w:t>
      </w:r>
      <w:proofErr w:type="spellStart"/>
      <w:r w:rsidR="00105617">
        <w:t>Național</w:t>
      </w:r>
      <w:proofErr w:type="spellEnd"/>
      <w:r w:rsidR="00105617">
        <w:t xml:space="preserve"> de </w:t>
      </w:r>
      <w:proofErr w:type="spellStart"/>
      <w:r w:rsidR="00105617">
        <w:t>Redresare</w:t>
      </w:r>
      <w:proofErr w:type="spellEnd"/>
      <w:r w:rsidR="00105617">
        <w:t xml:space="preserve"> </w:t>
      </w:r>
      <w:proofErr w:type="spellStart"/>
      <w:r w:rsidR="00105617">
        <w:t>și</w:t>
      </w:r>
      <w:proofErr w:type="spellEnd"/>
      <w:r w:rsidR="00105617">
        <w:t xml:space="preserve"> </w:t>
      </w:r>
      <w:proofErr w:type="spellStart"/>
      <w:r w:rsidR="00105617">
        <w:t>Reziliență</w:t>
      </w:r>
      <w:proofErr w:type="spellEnd"/>
      <w:r w:rsidR="00105617">
        <w:t xml:space="preserve">, </w:t>
      </w:r>
      <w:proofErr w:type="spellStart"/>
      <w:r w:rsidR="00105617">
        <w:t>Investiția</w:t>
      </w:r>
      <w:proofErr w:type="spellEnd"/>
      <w:r w:rsidR="00105617">
        <w:t xml:space="preserve"> i5. </w:t>
      </w:r>
      <w:r w:rsidR="00105617">
        <w:rPr>
          <w:lang w:val="ro-RO"/>
        </w:rPr>
        <w:t>Î</w:t>
      </w:r>
      <w:proofErr w:type="spellStart"/>
      <w:r w:rsidR="00105617">
        <w:t>nființarea</w:t>
      </w:r>
      <w:proofErr w:type="spellEnd"/>
      <w:r w:rsidR="00105617">
        <w:t xml:space="preserve"> </w:t>
      </w:r>
      <w:proofErr w:type="spellStart"/>
      <w:r w:rsidR="00105617">
        <w:t>și</w:t>
      </w:r>
      <w:proofErr w:type="spellEnd"/>
      <w:r w:rsidR="00105617">
        <w:t xml:space="preserve"> </w:t>
      </w:r>
      <w:proofErr w:type="spellStart"/>
      <w:r w:rsidR="00105617">
        <w:t>operaționalizarea</w:t>
      </w:r>
      <w:proofErr w:type="spellEnd"/>
      <w:r w:rsidR="00105617">
        <w:t xml:space="preserve"> </w:t>
      </w:r>
      <w:proofErr w:type="spellStart"/>
      <w:r w:rsidR="00105617">
        <w:t>centr</w:t>
      </w:r>
      <w:r w:rsidR="00105617">
        <w:t>elor</w:t>
      </w:r>
      <w:proofErr w:type="spellEnd"/>
      <w:r w:rsidR="00105617">
        <w:t xml:space="preserve"> de </w:t>
      </w:r>
      <w:proofErr w:type="spellStart"/>
      <w:r w:rsidR="00105617">
        <w:t>competență</w:t>
      </w:r>
      <w:proofErr w:type="spellEnd"/>
      <w:r w:rsidR="00105617">
        <w:t xml:space="preserve"> C</w:t>
      </w:r>
      <w:r w:rsidR="00105617">
        <w:t xml:space="preserve">omponenta 9. </w:t>
      </w:r>
      <w:proofErr w:type="spellStart"/>
      <w:proofErr w:type="gramStart"/>
      <w:r w:rsidR="00105617">
        <w:t>suport</w:t>
      </w:r>
      <w:proofErr w:type="spellEnd"/>
      <w:proofErr w:type="gramEnd"/>
      <w:r w:rsidR="00105617">
        <w:t xml:space="preserve"> </w:t>
      </w:r>
      <w:proofErr w:type="spellStart"/>
      <w:r w:rsidR="00105617">
        <w:t>pentru</w:t>
      </w:r>
      <w:proofErr w:type="spellEnd"/>
      <w:r w:rsidR="00105617">
        <w:t xml:space="preserve"> </w:t>
      </w:r>
      <w:proofErr w:type="spellStart"/>
      <w:r w:rsidR="00105617">
        <w:t>sectorul</w:t>
      </w:r>
      <w:proofErr w:type="spellEnd"/>
      <w:r w:rsidR="00105617">
        <w:t xml:space="preserve"> </w:t>
      </w:r>
      <w:proofErr w:type="spellStart"/>
      <w:r w:rsidR="00105617">
        <w:t>privat</w:t>
      </w:r>
      <w:proofErr w:type="spellEnd"/>
      <w:r w:rsidR="00105617">
        <w:t xml:space="preserve">, </w:t>
      </w:r>
      <w:proofErr w:type="spellStart"/>
      <w:r w:rsidR="00105617">
        <w:t>cercetare</w:t>
      </w:r>
      <w:proofErr w:type="spellEnd"/>
      <w:r w:rsidR="00105617">
        <w:t xml:space="preserve">, dezvoltare </w:t>
      </w:r>
      <w:proofErr w:type="spellStart"/>
      <w:r w:rsidR="00105617">
        <w:t>și</w:t>
      </w:r>
      <w:proofErr w:type="spellEnd"/>
      <w:r w:rsidR="00105617">
        <w:t xml:space="preserve"> </w:t>
      </w:r>
      <w:proofErr w:type="spellStart"/>
      <w:r w:rsidR="00105617">
        <w:t>inovare</w:t>
      </w:r>
      <w:proofErr w:type="spellEnd"/>
      <w:r w:rsidR="00105617">
        <w:t xml:space="preserve"> din PNRR</w:t>
      </w:r>
      <w:r w:rsidR="00105617">
        <w:t>.</w:t>
      </w:r>
    </w:p>
    <w:p w:rsidR="00821D0F" w:rsidRPr="00105617" w:rsidRDefault="00821D0F" w:rsidP="00105617">
      <w:pPr>
        <w:ind w:left="0" w:right="127" w:firstLine="0"/>
        <w:rPr>
          <w:bCs/>
          <w:i/>
          <w:color w:val="auto"/>
          <w:sz w:val="22"/>
          <w:lang w:val="ro-RO"/>
        </w:rPr>
      </w:pPr>
    </w:p>
    <w:p w:rsidR="00821D0F" w:rsidRPr="00105617" w:rsidRDefault="0066156F" w:rsidP="00E86573">
      <w:pPr>
        <w:spacing w:after="59" w:line="259" w:lineRule="auto"/>
        <w:ind w:left="-5" w:right="0"/>
        <w:rPr>
          <w:b/>
          <w:sz w:val="22"/>
          <w:lang w:val="ro-RO"/>
        </w:rPr>
      </w:pPr>
      <w:r>
        <w:rPr>
          <w:b/>
          <w:sz w:val="22"/>
          <w:lang w:val="ro-RO"/>
        </w:rPr>
        <w:t>În urma evaluă</w:t>
      </w:r>
      <w:r w:rsidR="00E82374" w:rsidRPr="00105617">
        <w:rPr>
          <w:b/>
          <w:sz w:val="22"/>
          <w:lang w:val="ro-RO"/>
        </w:rPr>
        <w:t xml:space="preserve">rii </w:t>
      </w:r>
      <w:r>
        <w:rPr>
          <w:b/>
          <w:sz w:val="22"/>
          <w:lang w:val="ro-RO"/>
        </w:rPr>
        <w:t xml:space="preserve">dosarului depus, </w:t>
      </w:r>
      <w:r w:rsidR="00E86573" w:rsidRPr="00105617">
        <w:rPr>
          <w:b/>
          <w:sz w:val="22"/>
          <w:lang w:val="ro-RO"/>
        </w:rPr>
        <w:t xml:space="preserve">se publica rezultatele finale ale </w:t>
      </w:r>
      <w:r w:rsidR="00821D0F" w:rsidRPr="00105617">
        <w:rPr>
          <w:b/>
          <w:sz w:val="22"/>
          <w:lang w:val="ro-RO"/>
        </w:rPr>
        <w:t>procesului de evaluare si selectare</w:t>
      </w:r>
      <w:r w:rsidR="00E86573" w:rsidRPr="00105617">
        <w:rPr>
          <w:b/>
          <w:sz w:val="22"/>
          <w:lang w:val="ro-RO"/>
        </w:rPr>
        <w:t xml:space="preserve">, conform Grilei de evaluare </w:t>
      </w:r>
      <w:r w:rsidR="00821D0F" w:rsidRPr="00105617">
        <w:rPr>
          <w:b/>
          <w:sz w:val="22"/>
          <w:lang w:val="ro-RO"/>
        </w:rPr>
        <w:t>:</w:t>
      </w:r>
      <w:r w:rsidR="008B2CB3" w:rsidRPr="00105617">
        <w:rPr>
          <w:b/>
          <w:sz w:val="22"/>
          <w:lang w:val="ro-RO"/>
        </w:rPr>
        <w:t xml:space="preserve"> </w:t>
      </w:r>
    </w:p>
    <w:tbl>
      <w:tblPr>
        <w:tblStyle w:val="TableGrid"/>
        <w:tblpPr w:leftFromText="180" w:rightFromText="180" w:vertAnchor="text" w:horzAnchor="margin" w:tblpY="231"/>
        <w:tblW w:w="8818" w:type="dxa"/>
        <w:tblInd w:w="0" w:type="dxa"/>
        <w:tblCellMar>
          <w:top w:w="7" w:type="dxa"/>
          <w:left w:w="115" w:type="dxa"/>
          <w:right w:w="78" w:type="dxa"/>
        </w:tblCellMar>
        <w:tblLook w:val="04A0" w:firstRow="1" w:lastRow="0" w:firstColumn="1" w:lastColumn="0" w:noHBand="0" w:noVBand="1"/>
      </w:tblPr>
      <w:tblGrid>
        <w:gridCol w:w="2247"/>
        <w:gridCol w:w="1749"/>
        <w:gridCol w:w="1560"/>
        <w:gridCol w:w="1407"/>
        <w:gridCol w:w="1855"/>
      </w:tblGrid>
      <w:tr w:rsidR="00552FEC" w:rsidRPr="00105617" w:rsidTr="00821D0F">
        <w:trPr>
          <w:trHeight w:val="784"/>
        </w:trPr>
        <w:tc>
          <w:tcPr>
            <w:tcW w:w="2247" w:type="dxa"/>
            <w:tcBorders>
              <w:top w:val="single" w:sz="4" w:space="0" w:color="000000"/>
              <w:left w:val="single" w:sz="4" w:space="0" w:color="000000"/>
              <w:bottom w:val="single" w:sz="4" w:space="0" w:color="000000"/>
              <w:right w:val="single" w:sz="4" w:space="0" w:color="000000"/>
            </w:tcBorders>
            <w:vAlign w:val="center"/>
          </w:tcPr>
          <w:p w:rsidR="00552FEC" w:rsidRPr="00105617" w:rsidRDefault="00552FEC" w:rsidP="00552FEC">
            <w:pPr>
              <w:spacing w:after="0" w:line="259" w:lineRule="auto"/>
              <w:ind w:left="0" w:right="40" w:firstLine="0"/>
              <w:jc w:val="center"/>
              <w:rPr>
                <w:sz w:val="20"/>
                <w:szCs w:val="20"/>
                <w:lang w:val="ro-RO"/>
              </w:rPr>
            </w:pPr>
            <w:r w:rsidRPr="00105617">
              <w:rPr>
                <w:sz w:val="20"/>
                <w:szCs w:val="20"/>
                <w:lang w:val="ro-RO"/>
              </w:rPr>
              <w:t xml:space="preserve">Denumire ofertant </w:t>
            </w:r>
          </w:p>
        </w:tc>
        <w:tc>
          <w:tcPr>
            <w:tcW w:w="1749" w:type="dxa"/>
            <w:tcBorders>
              <w:top w:val="single" w:sz="4" w:space="0" w:color="000000"/>
              <w:left w:val="single" w:sz="4" w:space="0" w:color="000000"/>
              <w:bottom w:val="single" w:sz="4" w:space="0" w:color="000000"/>
              <w:right w:val="single" w:sz="4" w:space="0" w:color="000000"/>
            </w:tcBorders>
          </w:tcPr>
          <w:p w:rsidR="00552FEC" w:rsidRPr="00105617" w:rsidRDefault="00552FEC" w:rsidP="00552FEC">
            <w:pPr>
              <w:spacing w:after="0" w:line="238" w:lineRule="auto"/>
              <w:ind w:left="0" w:right="0" w:firstLine="0"/>
              <w:jc w:val="center"/>
              <w:rPr>
                <w:sz w:val="20"/>
                <w:szCs w:val="20"/>
                <w:lang w:val="ro-RO"/>
              </w:rPr>
            </w:pPr>
            <w:r w:rsidRPr="00105617">
              <w:rPr>
                <w:sz w:val="20"/>
                <w:szCs w:val="20"/>
                <w:lang w:val="ro-RO"/>
              </w:rPr>
              <w:t xml:space="preserve">Rezaultat obtinut în urma </w:t>
            </w:r>
          </w:p>
          <w:p w:rsidR="00552FEC" w:rsidRPr="00105617" w:rsidRDefault="00552FEC" w:rsidP="00552FEC">
            <w:pPr>
              <w:spacing w:after="11" w:line="259" w:lineRule="auto"/>
              <w:ind w:left="0" w:right="39" w:firstLine="0"/>
              <w:jc w:val="center"/>
              <w:rPr>
                <w:sz w:val="20"/>
                <w:szCs w:val="20"/>
                <w:lang w:val="ro-RO"/>
              </w:rPr>
            </w:pPr>
            <w:r w:rsidRPr="00105617">
              <w:rPr>
                <w:sz w:val="20"/>
                <w:szCs w:val="20"/>
                <w:lang w:val="ro-RO"/>
              </w:rPr>
              <w:t xml:space="preserve">verificării </w:t>
            </w:r>
          </w:p>
          <w:p w:rsidR="00552FEC" w:rsidRPr="00105617" w:rsidRDefault="00552FEC" w:rsidP="00552FEC">
            <w:pPr>
              <w:spacing w:after="0" w:line="259" w:lineRule="auto"/>
              <w:ind w:left="0" w:right="0" w:firstLine="0"/>
              <w:jc w:val="center"/>
              <w:rPr>
                <w:sz w:val="20"/>
                <w:szCs w:val="20"/>
                <w:lang w:val="ro-RO"/>
              </w:rPr>
            </w:pPr>
            <w:r w:rsidRPr="00105617">
              <w:rPr>
                <w:sz w:val="20"/>
                <w:szCs w:val="20"/>
                <w:lang w:val="ro-RO"/>
              </w:rPr>
              <w:t xml:space="preserve">conformității administrative </w:t>
            </w:r>
          </w:p>
        </w:tc>
        <w:tc>
          <w:tcPr>
            <w:tcW w:w="1560" w:type="dxa"/>
            <w:tcBorders>
              <w:top w:val="single" w:sz="4" w:space="0" w:color="000000"/>
              <w:left w:val="single" w:sz="4" w:space="0" w:color="000000"/>
              <w:bottom w:val="single" w:sz="4" w:space="0" w:color="000000"/>
              <w:right w:val="single" w:sz="4" w:space="0" w:color="000000"/>
            </w:tcBorders>
            <w:vAlign w:val="center"/>
          </w:tcPr>
          <w:p w:rsidR="00552FEC" w:rsidRPr="00105617" w:rsidRDefault="00552FEC" w:rsidP="00552FEC">
            <w:pPr>
              <w:spacing w:after="0" w:line="238" w:lineRule="auto"/>
              <w:ind w:left="0" w:right="0" w:firstLine="0"/>
              <w:jc w:val="center"/>
              <w:rPr>
                <w:sz w:val="20"/>
                <w:szCs w:val="20"/>
                <w:lang w:val="ro-RO"/>
              </w:rPr>
            </w:pPr>
            <w:r w:rsidRPr="00105617">
              <w:rPr>
                <w:sz w:val="20"/>
                <w:szCs w:val="20"/>
                <w:lang w:val="ro-RO"/>
              </w:rPr>
              <w:t xml:space="preserve">Rezultat obtinut în urma </w:t>
            </w:r>
          </w:p>
          <w:p w:rsidR="00552FEC" w:rsidRPr="00105617" w:rsidRDefault="00552FEC" w:rsidP="00552FEC">
            <w:pPr>
              <w:spacing w:after="0" w:line="259" w:lineRule="auto"/>
              <w:ind w:left="0" w:right="0" w:firstLine="0"/>
              <w:jc w:val="center"/>
              <w:rPr>
                <w:sz w:val="20"/>
                <w:szCs w:val="20"/>
                <w:lang w:val="ro-RO"/>
              </w:rPr>
            </w:pPr>
            <w:r w:rsidRPr="00105617">
              <w:rPr>
                <w:sz w:val="20"/>
                <w:szCs w:val="20"/>
                <w:lang w:val="ro-RO"/>
              </w:rPr>
              <w:t xml:space="preserve">verificării eligibilității </w:t>
            </w:r>
          </w:p>
        </w:tc>
        <w:tc>
          <w:tcPr>
            <w:tcW w:w="1407" w:type="dxa"/>
            <w:tcBorders>
              <w:top w:val="single" w:sz="4" w:space="0" w:color="000000"/>
              <w:left w:val="single" w:sz="4" w:space="0" w:color="000000"/>
              <w:bottom w:val="single" w:sz="4" w:space="0" w:color="000000"/>
              <w:right w:val="single" w:sz="4" w:space="0" w:color="000000"/>
            </w:tcBorders>
            <w:vAlign w:val="center"/>
          </w:tcPr>
          <w:p w:rsidR="00552FEC" w:rsidRPr="00105617" w:rsidRDefault="00552FEC" w:rsidP="00552FEC">
            <w:pPr>
              <w:spacing w:after="0" w:line="259" w:lineRule="auto"/>
              <w:ind w:left="0" w:right="0" w:firstLine="0"/>
              <w:jc w:val="center"/>
              <w:rPr>
                <w:sz w:val="20"/>
                <w:szCs w:val="20"/>
                <w:lang w:val="ro-RO"/>
              </w:rPr>
            </w:pPr>
            <w:r w:rsidRPr="00105617">
              <w:rPr>
                <w:sz w:val="20"/>
                <w:szCs w:val="20"/>
                <w:lang w:val="ro-RO"/>
              </w:rPr>
              <w:t xml:space="preserve">Punctaj în urma aplicării grilei de evaluare și selecție </w:t>
            </w:r>
          </w:p>
        </w:tc>
        <w:tc>
          <w:tcPr>
            <w:tcW w:w="1855" w:type="dxa"/>
            <w:tcBorders>
              <w:top w:val="single" w:sz="4" w:space="0" w:color="000000"/>
              <w:left w:val="single" w:sz="4" w:space="0" w:color="000000"/>
              <w:bottom w:val="single" w:sz="4" w:space="0" w:color="000000"/>
              <w:right w:val="single" w:sz="4" w:space="0" w:color="000000"/>
            </w:tcBorders>
            <w:vAlign w:val="center"/>
          </w:tcPr>
          <w:p w:rsidR="00552FEC" w:rsidRPr="00105617" w:rsidRDefault="00552FEC" w:rsidP="00552FEC">
            <w:pPr>
              <w:spacing w:after="0" w:line="259" w:lineRule="auto"/>
              <w:ind w:left="0" w:right="0" w:firstLine="0"/>
              <w:jc w:val="center"/>
              <w:rPr>
                <w:sz w:val="20"/>
                <w:szCs w:val="20"/>
                <w:lang w:val="ro-RO"/>
              </w:rPr>
            </w:pPr>
            <w:r w:rsidRPr="00105617">
              <w:rPr>
                <w:sz w:val="20"/>
                <w:szCs w:val="20"/>
                <w:lang w:val="ro-RO"/>
              </w:rPr>
              <w:t xml:space="preserve">Rezultat Admis/Respins </w:t>
            </w:r>
          </w:p>
        </w:tc>
      </w:tr>
      <w:tr w:rsidR="00552FEC" w:rsidRPr="00105617" w:rsidTr="00821D0F">
        <w:trPr>
          <w:trHeight w:val="629"/>
        </w:trPr>
        <w:tc>
          <w:tcPr>
            <w:tcW w:w="2247" w:type="dxa"/>
            <w:tcBorders>
              <w:top w:val="single" w:sz="4" w:space="0" w:color="000000"/>
              <w:left w:val="single" w:sz="4" w:space="0" w:color="000000"/>
              <w:bottom w:val="single" w:sz="4" w:space="0" w:color="000000"/>
              <w:right w:val="single" w:sz="4" w:space="0" w:color="000000"/>
            </w:tcBorders>
          </w:tcPr>
          <w:p w:rsidR="00552FEC" w:rsidRPr="0066156F" w:rsidRDefault="00105617" w:rsidP="0066156F">
            <w:pPr>
              <w:spacing w:after="0" w:line="259" w:lineRule="auto"/>
              <w:ind w:left="0" w:right="40" w:firstLine="0"/>
              <w:jc w:val="center"/>
              <w:rPr>
                <w:b/>
                <w:sz w:val="20"/>
                <w:szCs w:val="20"/>
                <w:lang w:val="ro-RO"/>
              </w:rPr>
            </w:pPr>
            <w:r w:rsidRPr="0066156F">
              <w:rPr>
                <w:b/>
                <w:sz w:val="20"/>
                <w:szCs w:val="20"/>
                <w:lang w:val="ro-RO"/>
              </w:rPr>
              <w:t xml:space="preserve">BREADCRUMBS INTERACTIVE </w:t>
            </w:r>
            <w:r w:rsidR="0066156F" w:rsidRPr="0066156F">
              <w:rPr>
                <w:b/>
                <w:sz w:val="20"/>
                <w:szCs w:val="20"/>
                <w:lang w:val="ro-RO"/>
              </w:rPr>
              <w:t xml:space="preserve">S.R.L. </w:t>
            </w:r>
          </w:p>
        </w:tc>
        <w:tc>
          <w:tcPr>
            <w:tcW w:w="1749" w:type="dxa"/>
            <w:tcBorders>
              <w:top w:val="single" w:sz="4" w:space="0" w:color="000000"/>
              <w:left w:val="single" w:sz="4" w:space="0" w:color="000000"/>
              <w:bottom w:val="single" w:sz="4" w:space="0" w:color="000000"/>
              <w:right w:val="single" w:sz="4" w:space="0" w:color="000000"/>
            </w:tcBorders>
            <w:vAlign w:val="center"/>
          </w:tcPr>
          <w:p w:rsidR="00552FEC" w:rsidRPr="0066156F" w:rsidRDefault="00552FEC" w:rsidP="00552FEC">
            <w:pPr>
              <w:spacing w:after="0" w:line="259" w:lineRule="auto"/>
              <w:ind w:left="0" w:right="39" w:firstLine="0"/>
              <w:jc w:val="center"/>
              <w:rPr>
                <w:b/>
                <w:sz w:val="20"/>
                <w:szCs w:val="20"/>
                <w:lang w:val="ro-RO"/>
              </w:rPr>
            </w:pPr>
            <w:r w:rsidRPr="0066156F">
              <w:rPr>
                <w:b/>
                <w:sz w:val="20"/>
                <w:szCs w:val="20"/>
                <w:lang w:val="ro-RO"/>
              </w:rPr>
              <w:t xml:space="preserve">ELIGIBIL </w:t>
            </w:r>
          </w:p>
        </w:tc>
        <w:tc>
          <w:tcPr>
            <w:tcW w:w="1560" w:type="dxa"/>
            <w:tcBorders>
              <w:top w:val="single" w:sz="4" w:space="0" w:color="000000"/>
              <w:left w:val="single" w:sz="4" w:space="0" w:color="000000"/>
              <w:bottom w:val="single" w:sz="4" w:space="0" w:color="000000"/>
              <w:right w:val="single" w:sz="4" w:space="0" w:color="000000"/>
            </w:tcBorders>
            <w:vAlign w:val="center"/>
          </w:tcPr>
          <w:p w:rsidR="00552FEC" w:rsidRPr="0066156F" w:rsidRDefault="00552FEC" w:rsidP="00552FEC">
            <w:pPr>
              <w:spacing w:after="0" w:line="259" w:lineRule="auto"/>
              <w:ind w:left="0" w:right="37" w:firstLine="0"/>
              <w:jc w:val="center"/>
              <w:rPr>
                <w:b/>
                <w:sz w:val="20"/>
                <w:szCs w:val="20"/>
                <w:lang w:val="ro-RO"/>
              </w:rPr>
            </w:pPr>
            <w:r w:rsidRPr="0066156F">
              <w:rPr>
                <w:b/>
                <w:sz w:val="20"/>
                <w:szCs w:val="20"/>
                <w:lang w:val="ro-RO"/>
              </w:rPr>
              <w:t xml:space="preserve">ELIGIBIL </w:t>
            </w:r>
          </w:p>
        </w:tc>
        <w:tc>
          <w:tcPr>
            <w:tcW w:w="1407" w:type="dxa"/>
            <w:tcBorders>
              <w:top w:val="single" w:sz="4" w:space="0" w:color="000000"/>
              <w:left w:val="single" w:sz="4" w:space="0" w:color="000000"/>
              <w:bottom w:val="single" w:sz="4" w:space="0" w:color="000000"/>
              <w:right w:val="single" w:sz="4" w:space="0" w:color="000000"/>
            </w:tcBorders>
            <w:vAlign w:val="center"/>
          </w:tcPr>
          <w:p w:rsidR="00552FEC" w:rsidRPr="0066156F" w:rsidRDefault="00105617" w:rsidP="00552FEC">
            <w:pPr>
              <w:spacing w:after="0" w:line="259" w:lineRule="auto"/>
              <w:ind w:left="0" w:right="38" w:firstLine="0"/>
              <w:jc w:val="center"/>
              <w:rPr>
                <w:b/>
                <w:sz w:val="20"/>
                <w:szCs w:val="20"/>
                <w:lang w:val="ro-RO"/>
              </w:rPr>
            </w:pPr>
            <w:r w:rsidRPr="0066156F">
              <w:rPr>
                <w:b/>
                <w:sz w:val="20"/>
                <w:szCs w:val="20"/>
                <w:lang w:val="ro-RO"/>
              </w:rPr>
              <w:t>100</w:t>
            </w:r>
          </w:p>
        </w:tc>
        <w:tc>
          <w:tcPr>
            <w:tcW w:w="1855" w:type="dxa"/>
            <w:tcBorders>
              <w:top w:val="single" w:sz="4" w:space="0" w:color="000000"/>
              <w:left w:val="single" w:sz="4" w:space="0" w:color="000000"/>
              <w:bottom w:val="single" w:sz="4" w:space="0" w:color="000000"/>
              <w:right w:val="single" w:sz="4" w:space="0" w:color="000000"/>
            </w:tcBorders>
            <w:vAlign w:val="center"/>
          </w:tcPr>
          <w:p w:rsidR="00552FEC" w:rsidRPr="0066156F" w:rsidRDefault="00552FEC" w:rsidP="00552FEC">
            <w:pPr>
              <w:spacing w:after="0" w:line="259" w:lineRule="auto"/>
              <w:ind w:left="0" w:right="43" w:firstLine="0"/>
              <w:jc w:val="center"/>
              <w:rPr>
                <w:b/>
                <w:sz w:val="20"/>
                <w:szCs w:val="20"/>
                <w:lang w:val="ro-RO"/>
              </w:rPr>
            </w:pPr>
            <w:r w:rsidRPr="0066156F">
              <w:rPr>
                <w:b/>
                <w:sz w:val="20"/>
                <w:szCs w:val="20"/>
                <w:lang w:val="ro-RO"/>
              </w:rPr>
              <w:t xml:space="preserve">Admis </w:t>
            </w:r>
          </w:p>
        </w:tc>
      </w:tr>
    </w:tbl>
    <w:p w:rsidR="003F1EAE" w:rsidRPr="00105617" w:rsidRDefault="003F1EAE">
      <w:pPr>
        <w:spacing w:after="116" w:line="259" w:lineRule="auto"/>
        <w:ind w:left="0" w:right="0" w:firstLine="0"/>
        <w:jc w:val="left"/>
        <w:rPr>
          <w:lang w:val="ro-RO"/>
        </w:rPr>
      </w:pPr>
    </w:p>
    <w:p w:rsidR="00552FEC" w:rsidRPr="00105617" w:rsidRDefault="00552FEC" w:rsidP="00821D0F">
      <w:pPr>
        <w:spacing w:after="111" w:line="240" w:lineRule="auto"/>
        <w:ind w:left="-5" w:right="0"/>
        <w:jc w:val="center"/>
        <w:rPr>
          <w:sz w:val="22"/>
          <w:lang w:val="ro-RO"/>
        </w:rPr>
      </w:pPr>
      <w:r w:rsidRPr="00105617">
        <w:rPr>
          <w:sz w:val="22"/>
          <w:lang w:val="ro-RO"/>
        </w:rPr>
        <w:t>Comisia de selecție</w:t>
      </w:r>
      <w:r w:rsidR="00105617">
        <w:rPr>
          <w:sz w:val="22"/>
          <w:lang w:val="ro-RO"/>
        </w:rPr>
        <w:t xml:space="preserve"> </w:t>
      </w:r>
      <w:r w:rsidRPr="00105617">
        <w:rPr>
          <w:sz w:val="22"/>
          <w:lang w:val="ro-RO"/>
        </w:rPr>
        <w:t>:</w:t>
      </w:r>
      <w:bookmarkStart w:id="2" w:name="_GoBack"/>
      <w:bookmarkEnd w:id="2"/>
    </w:p>
    <w:p w:rsidR="00552FEC" w:rsidRPr="00105617" w:rsidRDefault="00552FEC" w:rsidP="00821D0F">
      <w:pPr>
        <w:spacing w:after="111" w:line="240" w:lineRule="auto"/>
        <w:ind w:left="-5" w:right="0"/>
        <w:jc w:val="center"/>
        <w:rPr>
          <w:sz w:val="22"/>
          <w:lang w:val="ro-RO"/>
        </w:rPr>
      </w:pPr>
      <w:r w:rsidRPr="00105617">
        <w:rPr>
          <w:sz w:val="22"/>
          <w:lang w:val="ro-RO"/>
        </w:rPr>
        <w:t>Dr. Iulia Maria Gavrila – Președinte</w:t>
      </w:r>
    </w:p>
    <w:p w:rsidR="00552FEC" w:rsidRPr="00105617" w:rsidRDefault="00552FEC" w:rsidP="00821D0F">
      <w:pPr>
        <w:spacing w:after="111" w:line="240" w:lineRule="auto"/>
        <w:ind w:left="-5" w:right="0"/>
        <w:jc w:val="center"/>
        <w:rPr>
          <w:sz w:val="22"/>
          <w:lang w:val="ro-RO"/>
        </w:rPr>
      </w:pPr>
      <w:r w:rsidRPr="00105617">
        <w:rPr>
          <w:sz w:val="22"/>
          <w:lang w:val="ro-RO"/>
        </w:rPr>
        <w:t>Ref. Sp. Jur. Adrian Brîndușan – Membru</w:t>
      </w:r>
    </w:p>
    <w:p w:rsidR="00552FEC" w:rsidRPr="00105617" w:rsidRDefault="0066156F" w:rsidP="00821D0F">
      <w:pPr>
        <w:spacing w:after="111" w:line="240" w:lineRule="auto"/>
        <w:ind w:left="-5" w:right="0"/>
        <w:jc w:val="center"/>
        <w:rPr>
          <w:sz w:val="22"/>
          <w:lang w:val="ro-RO"/>
        </w:rPr>
      </w:pPr>
      <w:r>
        <w:rPr>
          <w:sz w:val="22"/>
          <w:lang w:val="ro-RO"/>
        </w:rPr>
        <w:t xml:space="preserve">Specialist IT Anton Bereschi </w:t>
      </w:r>
      <w:r w:rsidR="00552FEC" w:rsidRPr="00105617">
        <w:rPr>
          <w:sz w:val="22"/>
          <w:lang w:val="ro-RO"/>
        </w:rPr>
        <w:t xml:space="preserve"> – Membru</w:t>
      </w:r>
    </w:p>
    <w:p w:rsidR="003F1EAE" w:rsidRPr="00105617" w:rsidRDefault="00105617" w:rsidP="00821D0F">
      <w:pPr>
        <w:spacing w:after="111" w:line="240" w:lineRule="auto"/>
        <w:ind w:left="-5" w:right="0"/>
        <w:jc w:val="center"/>
        <w:rPr>
          <w:sz w:val="22"/>
          <w:lang w:val="ro-RO"/>
        </w:rPr>
      </w:pPr>
      <w:r>
        <w:rPr>
          <w:sz w:val="22"/>
          <w:lang w:val="ro-RO"/>
        </w:rPr>
        <w:t>Ref. Sp. Econ. Cristina Oprea</w:t>
      </w:r>
      <w:r w:rsidR="00552FEC" w:rsidRPr="00105617">
        <w:rPr>
          <w:sz w:val="22"/>
          <w:lang w:val="ro-RO"/>
        </w:rPr>
        <w:t xml:space="preserve"> - Secretar</w:t>
      </w:r>
      <w:r w:rsidR="008B2CB3" w:rsidRPr="00105617">
        <w:rPr>
          <w:b/>
          <w:lang w:val="ro-RO"/>
        </w:rPr>
        <w:t xml:space="preserve">  </w:t>
      </w:r>
    </w:p>
    <w:sectPr w:rsidR="003F1EAE" w:rsidRPr="00105617">
      <w:headerReference w:type="default" r:id="rId7"/>
      <w:pgSz w:w="11906" w:h="16838"/>
      <w:pgMar w:top="485" w:right="1404" w:bottom="155"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56F" w:rsidRDefault="0010756F" w:rsidP="005F6C2E">
      <w:pPr>
        <w:spacing w:after="0" w:line="240" w:lineRule="auto"/>
      </w:pPr>
      <w:r>
        <w:separator/>
      </w:r>
    </w:p>
  </w:endnote>
  <w:endnote w:type="continuationSeparator" w:id="0">
    <w:p w:rsidR="0010756F" w:rsidRDefault="0010756F" w:rsidP="005F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56F" w:rsidRDefault="0010756F" w:rsidP="005F6C2E">
      <w:pPr>
        <w:spacing w:after="0" w:line="240" w:lineRule="auto"/>
      </w:pPr>
      <w:r>
        <w:separator/>
      </w:r>
    </w:p>
  </w:footnote>
  <w:footnote w:type="continuationSeparator" w:id="0">
    <w:p w:rsidR="0010756F" w:rsidRDefault="0010756F" w:rsidP="005F6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17" w:rsidRDefault="00105617" w:rsidP="00105617">
    <w:pPr>
      <w:pStyle w:val="Header"/>
      <w:jc w:val="center"/>
    </w:pPr>
    <w:r>
      <w:rPr>
        <w:noProof/>
      </w:rPr>
      <w:drawing>
        <wp:inline distT="0" distB="0" distL="0" distR="0" wp14:anchorId="09098DDC" wp14:editId="4E93F302">
          <wp:extent cx="1276350" cy="457200"/>
          <wp:effectExtent l="0" t="0" r="0" b="0"/>
          <wp:docPr id="80" name="Google Shape;80;p2"/>
          <wp:cNvGraphicFramePr/>
          <a:graphic xmlns:a="http://schemas.openxmlformats.org/drawingml/2006/main">
            <a:graphicData uri="http://schemas.openxmlformats.org/drawingml/2006/picture">
              <pic:pic xmlns:pic="http://schemas.openxmlformats.org/drawingml/2006/picture">
                <pic:nvPicPr>
                  <pic:cNvPr id="80" name="Google Shape;80;p2"/>
                  <pic:cNvPicPr preferRelativeResize="0"/>
                </pic:nvPicPr>
                <pic:blipFill rotWithShape="1">
                  <a:blip r:embed="rId1">
                    <a:alphaModFix/>
                  </a:blip>
                  <a:srcRect/>
                  <a:stretch/>
                </pic:blipFill>
                <pic:spPr>
                  <a:xfrm>
                    <a:off x="0" y="0"/>
                    <a:ext cx="1277281" cy="457533"/>
                  </a:xfrm>
                  <a:prstGeom prst="rect">
                    <a:avLst/>
                  </a:prstGeom>
                  <a:noFill/>
                  <a:ln>
                    <a:noFill/>
                  </a:ln>
                </pic:spPr>
              </pic:pic>
            </a:graphicData>
          </a:graphic>
        </wp:inline>
      </w:drawing>
    </w:r>
    <w:r w:rsidRPr="00135265">
      <w:rPr>
        <w:noProof/>
      </w:rPr>
      <w:drawing>
        <wp:inline distT="0" distB="0" distL="0" distR="0" wp14:anchorId="1CDE7583" wp14:editId="1D4ED7A4">
          <wp:extent cx="3971925" cy="495300"/>
          <wp:effectExtent l="0" t="0" r="9525" b="0"/>
          <wp:docPr id="91" name="Google Shape;91;p2"/>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91" name="Google Shape;91;p2"/>
                  <pic:cNvPicPr preferRelativeResize="0">
                    <a:picLocks noGrp="1"/>
                  </pic:cNvPicPr>
                </pic:nvPicPr>
                <pic:blipFill rotWithShape="1">
                  <a:blip r:embed="rId2">
                    <a:alphaModFix/>
                  </a:blip>
                  <a:stretch/>
                </pic:blipFill>
                <pic:spPr>
                  <a:xfrm>
                    <a:off x="0" y="0"/>
                    <a:ext cx="3971925" cy="495300"/>
                  </a:xfrm>
                  <a:prstGeom prst="rect">
                    <a:avLst/>
                  </a:prstGeom>
                  <a:noFill/>
                  <a:ln>
                    <a:noFill/>
                  </a:ln>
                </pic:spPr>
              </pic:pic>
            </a:graphicData>
          </a:graphic>
        </wp:inline>
      </w:drawing>
    </w:r>
  </w:p>
  <w:p w:rsidR="005F6C2E" w:rsidRDefault="005F6C2E">
    <w:pPr>
      <w:pStyle w:val="Header"/>
    </w:pPr>
  </w:p>
  <w:p w:rsidR="005F6C2E" w:rsidRDefault="005F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E4D2E"/>
    <w:multiLevelType w:val="hybridMultilevel"/>
    <w:tmpl w:val="744C1FC6"/>
    <w:lvl w:ilvl="0" w:tplc="A9221D32">
      <w:start w:val="5"/>
      <w:numFmt w:val="bullet"/>
      <w:lvlText w:val="-"/>
      <w:lvlJc w:val="left"/>
      <w:pPr>
        <w:ind w:left="345" w:hanging="360"/>
      </w:pPr>
      <w:rPr>
        <w:rFonts w:ascii="Times New Roman" w:eastAsia="Times New Roman" w:hAnsi="Times New Roman" w:cs="Times New Roman" w:hint="default"/>
        <w:b w:val="0"/>
      </w:rPr>
    </w:lvl>
    <w:lvl w:ilvl="1" w:tplc="04090003" w:tentative="1">
      <w:start w:val="1"/>
      <w:numFmt w:val="bullet"/>
      <w:lvlText w:val="o"/>
      <w:lvlJc w:val="left"/>
      <w:pPr>
        <w:ind w:left="1065" w:hanging="360"/>
      </w:pPr>
      <w:rPr>
        <w:rFonts w:ascii="Courier New" w:hAnsi="Courier New" w:cs="Courier New" w:hint="default"/>
      </w:rPr>
    </w:lvl>
    <w:lvl w:ilvl="2" w:tplc="04090005" w:tentative="1">
      <w:start w:val="1"/>
      <w:numFmt w:val="bullet"/>
      <w:lvlText w:val=""/>
      <w:lvlJc w:val="left"/>
      <w:pPr>
        <w:ind w:left="1785" w:hanging="360"/>
      </w:pPr>
      <w:rPr>
        <w:rFonts w:ascii="Wingdings" w:hAnsi="Wingdings" w:hint="default"/>
      </w:rPr>
    </w:lvl>
    <w:lvl w:ilvl="3" w:tplc="04090001" w:tentative="1">
      <w:start w:val="1"/>
      <w:numFmt w:val="bullet"/>
      <w:lvlText w:val=""/>
      <w:lvlJc w:val="left"/>
      <w:pPr>
        <w:ind w:left="2505" w:hanging="360"/>
      </w:pPr>
      <w:rPr>
        <w:rFonts w:ascii="Symbol" w:hAnsi="Symbol" w:hint="default"/>
      </w:rPr>
    </w:lvl>
    <w:lvl w:ilvl="4" w:tplc="04090003" w:tentative="1">
      <w:start w:val="1"/>
      <w:numFmt w:val="bullet"/>
      <w:lvlText w:val="o"/>
      <w:lvlJc w:val="left"/>
      <w:pPr>
        <w:ind w:left="3225" w:hanging="360"/>
      </w:pPr>
      <w:rPr>
        <w:rFonts w:ascii="Courier New" w:hAnsi="Courier New" w:cs="Courier New" w:hint="default"/>
      </w:rPr>
    </w:lvl>
    <w:lvl w:ilvl="5" w:tplc="04090005" w:tentative="1">
      <w:start w:val="1"/>
      <w:numFmt w:val="bullet"/>
      <w:lvlText w:val=""/>
      <w:lvlJc w:val="left"/>
      <w:pPr>
        <w:ind w:left="3945" w:hanging="360"/>
      </w:pPr>
      <w:rPr>
        <w:rFonts w:ascii="Wingdings" w:hAnsi="Wingdings" w:hint="default"/>
      </w:rPr>
    </w:lvl>
    <w:lvl w:ilvl="6" w:tplc="04090001" w:tentative="1">
      <w:start w:val="1"/>
      <w:numFmt w:val="bullet"/>
      <w:lvlText w:val=""/>
      <w:lvlJc w:val="left"/>
      <w:pPr>
        <w:ind w:left="4665" w:hanging="360"/>
      </w:pPr>
      <w:rPr>
        <w:rFonts w:ascii="Symbol" w:hAnsi="Symbol" w:hint="default"/>
      </w:rPr>
    </w:lvl>
    <w:lvl w:ilvl="7" w:tplc="04090003" w:tentative="1">
      <w:start w:val="1"/>
      <w:numFmt w:val="bullet"/>
      <w:lvlText w:val="o"/>
      <w:lvlJc w:val="left"/>
      <w:pPr>
        <w:ind w:left="5385" w:hanging="360"/>
      </w:pPr>
      <w:rPr>
        <w:rFonts w:ascii="Courier New" w:hAnsi="Courier New" w:cs="Courier New" w:hint="default"/>
      </w:rPr>
    </w:lvl>
    <w:lvl w:ilvl="8" w:tplc="04090005" w:tentative="1">
      <w:start w:val="1"/>
      <w:numFmt w:val="bullet"/>
      <w:lvlText w:val=""/>
      <w:lvlJc w:val="left"/>
      <w:pPr>
        <w:ind w:left="6105" w:hanging="360"/>
      </w:pPr>
      <w:rPr>
        <w:rFonts w:ascii="Wingdings" w:hAnsi="Wingdings" w:hint="default"/>
      </w:rPr>
    </w:lvl>
  </w:abstractNum>
  <w:abstractNum w:abstractNumId="1" w15:restartNumberingAfterBreak="0">
    <w:nsid w:val="296E29DE"/>
    <w:multiLevelType w:val="hybridMultilevel"/>
    <w:tmpl w:val="4C7210D4"/>
    <w:lvl w:ilvl="0" w:tplc="AE347610">
      <w:start w:val="1"/>
      <w:numFmt w:val="bullet"/>
      <w:lvlText w:val=""/>
      <w:lvlJc w:val="left"/>
      <w:pPr>
        <w:ind w:left="360" w:hanging="360"/>
      </w:pPr>
      <w:rPr>
        <w:rFonts w:ascii="Wingdings 3" w:hAnsi="Wingdings 3" w:hint="default"/>
        <w:color w:val="FFC000"/>
        <w:sz w:val="16"/>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15:restartNumberingAfterBreak="0">
    <w:nsid w:val="3F293B82"/>
    <w:multiLevelType w:val="multilevel"/>
    <w:tmpl w:val="3D4605D4"/>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A4B641B"/>
    <w:multiLevelType w:val="hybridMultilevel"/>
    <w:tmpl w:val="3CCA9E8C"/>
    <w:lvl w:ilvl="0" w:tplc="F8C2D72C">
      <w:start w:val="1"/>
      <w:numFmt w:val="bullet"/>
      <w:lvlText w:val="o"/>
      <w:lvlJc w:val="left"/>
      <w:pPr>
        <w:ind w:left="737"/>
      </w:pPr>
      <w:rPr>
        <w:rFonts w:ascii="Courier New" w:eastAsia="Courier New" w:hAnsi="Courier New" w:cs="Courier New"/>
        <w:b w:val="0"/>
        <w:i w:val="0"/>
        <w:strike w:val="0"/>
        <w:dstrike w:val="0"/>
        <w:color w:val="FFC000"/>
        <w:sz w:val="16"/>
        <w:szCs w:val="16"/>
        <w:u w:val="none" w:color="000000"/>
        <w:bdr w:val="none" w:sz="0" w:space="0" w:color="auto"/>
        <w:shd w:val="clear" w:color="auto" w:fill="auto"/>
        <w:vertAlign w:val="baseline"/>
      </w:rPr>
    </w:lvl>
    <w:lvl w:ilvl="1" w:tplc="6A662536">
      <w:start w:val="1"/>
      <w:numFmt w:val="bullet"/>
      <w:lvlText w:val="o"/>
      <w:lvlJc w:val="left"/>
      <w:pPr>
        <w:ind w:left="1440"/>
      </w:pPr>
      <w:rPr>
        <w:rFonts w:ascii="Courier New" w:eastAsia="Courier New" w:hAnsi="Courier New" w:cs="Courier New"/>
        <w:b w:val="0"/>
        <w:i w:val="0"/>
        <w:strike w:val="0"/>
        <w:dstrike w:val="0"/>
        <w:color w:val="FFC000"/>
        <w:sz w:val="16"/>
        <w:szCs w:val="16"/>
        <w:u w:val="none" w:color="000000"/>
        <w:bdr w:val="none" w:sz="0" w:space="0" w:color="auto"/>
        <w:shd w:val="clear" w:color="auto" w:fill="auto"/>
        <w:vertAlign w:val="baseline"/>
      </w:rPr>
    </w:lvl>
    <w:lvl w:ilvl="2" w:tplc="EEDCF572">
      <w:start w:val="1"/>
      <w:numFmt w:val="bullet"/>
      <w:lvlText w:val="▪"/>
      <w:lvlJc w:val="left"/>
      <w:pPr>
        <w:ind w:left="2160"/>
      </w:pPr>
      <w:rPr>
        <w:rFonts w:ascii="Courier New" w:eastAsia="Courier New" w:hAnsi="Courier New" w:cs="Courier New"/>
        <w:b w:val="0"/>
        <w:i w:val="0"/>
        <w:strike w:val="0"/>
        <w:dstrike w:val="0"/>
        <w:color w:val="FFC000"/>
        <w:sz w:val="16"/>
        <w:szCs w:val="16"/>
        <w:u w:val="none" w:color="000000"/>
        <w:bdr w:val="none" w:sz="0" w:space="0" w:color="auto"/>
        <w:shd w:val="clear" w:color="auto" w:fill="auto"/>
        <w:vertAlign w:val="baseline"/>
      </w:rPr>
    </w:lvl>
    <w:lvl w:ilvl="3" w:tplc="D85E08D4">
      <w:start w:val="1"/>
      <w:numFmt w:val="bullet"/>
      <w:lvlText w:val="•"/>
      <w:lvlJc w:val="left"/>
      <w:pPr>
        <w:ind w:left="2880"/>
      </w:pPr>
      <w:rPr>
        <w:rFonts w:ascii="Courier New" w:eastAsia="Courier New" w:hAnsi="Courier New" w:cs="Courier New"/>
        <w:b w:val="0"/>
        <w:i w:val="0"/>
        <w:strike w:val="0"/>
        <w:dstrike w:val="0"/>
        <w:color w:val="FFC000"/>
        <w:sz w:val="16"/>
        <w:szCs w:val="16"/>
        <w:u w:val="none" w:color="000000"/>
        <w:bdr w:val="none" w:sz="0" w:space="0" w:color="auto"/>
        <w:shd w:val="clear" w:color="auto" w:fill="auto"/>
        <w:vertAlign w:val="baseline"/>
      </w:rPr>
    </w:lvl>
    <w:lvl w:ilvl="4" w:tplc="F876510E">
      <w:start w:val="1"/>
      <w:numFmt w:val="bullet"/>
      <w:lvlText w:val="o"/>
      <w:lvlJc w:val="left"/>
      <w:pPr>
        <w:ind w:left="3600"/>
      </w:pPr>
      <w:rPr>
        <w:rFonts w:ascii="Courier New" w:eastAsia="Courier New" w:hAnsi="Courier New" w:cs="Courier New"/>
        <w:b w:val="0"/>
        <w:i w:val="0"/>
        <w:strike w:val="0"/>
        <w:dstrike w:val="0"/>
        <w:color w:val="FFC000"/>
        <w:sz w:val="16"/>
        <w:szCs w:val="16"/>
        <w:u w:val="none" w:color="000000"/>
        <w:bdr w:val="none" w:sz="0" w:space="0" w:color="auto"/>
        <w:shd w:val="clear" w:color="auto" w:fill="auto"/>
        <w:vertAlign w:val="baseline"/>
      </w:rPr>
    </w:lvl>
    <w:lvl w:ilvl="5" w:tplc="E688A3E8">
      <w:start w:val="1"/>
      <w:numFmt w:val="bullet"/>
      <w:lvlText w:val="▪"/>
      <w:lvlJc w:val="left"/>
      <w:pPr>
        <w:ind w:left="4320"/>
      </w:pPr>
      <w:rPr>
        <w:rFonts w:ascii="Courier New" w:eastAsia="Courier New" w:hAnsi="Courier New" w:cs="Courier New"/>
        <w:b w:val="0"/>
        <w:i w:val="0"/>
        <w:strike w:val="0"/>
        <w:dstrike w:val="0"/>
        <w:color w:val="FFC000"/>
        <w:sz w:val="16"/>
        <w:szCs w:val="16"/>
        <w:u w:val="none" w:color="000000"/>
        <w:bdr w:val="none" w:sz="0" w:space="0" w:color="auto"/>
        <w:shd w:val="clear" w:color="auto" w:fill="auto"/>
        <w:vertAlign w:val="baseline"/>
      </w:rPr>
    </w:lvl>
    <w:lvl w:ilvl="6" w:tplc="747E7D1E">
      <w:start w:val="1"/>
      <w:numFmt w:val="bullet"/>
      <w:lvlText w:val="•"/>
      <w:lvlJc w:val="left"/>
      <w:pPr>
        <w:ind w:left="5040"/>
      </w:pPr>
      <w:rPr>
        <w:rFonts w:ascii="Courier New" w:eastAsia="Courier New" w:hAnsi="Courier New" w:cs="Courier New"/>
        <w:b w:val="0"/>
        <w:i w:val="0"/>
        <w:strike w:val="0"/>
        <w:dstrike w:val="0"/>
        <w:color w:val="FFC000"/>
        <w:sz w:val="16"/>
        <w:szCs w:val="16"/>
        <w:u w:val="none" w:color="000000"/>
        <w:bdr w:val="none" w:sz="0" w:space="0" w:color="auto"/>
        <w:shd w:val="clear" w:color="auto" w:fill="auto"/>
        <w:vertAlign w:val="baseline"/>
      </w:rPr>
    </w:lvl>
    <w:lvl w:ilvl="7" w:tplc="8536CEFA">
      <w:start w:val="1"/>
      <w:numFmt w:val="bullet"/>
      <w:lvlText w:val="o"/>
      <w:lvlJc w:val="left"/>
      <w:pPr>
        <w:ind w:left="5760"/>
      </w:pPr>
      <w:rPr>
        <w:rFonts w:ascii="Courier New" w:eastAsia="Courier New" w:hAnsi="Courier New" w:cs="Courier New"/>
        <w:b w:val="0"/>
        <w:i w:val="0"/>
        <w:strike w:val="0"/>
        <w:dstrike w:val="0"/>
        <w:color w:val="FFC000"/>
        <w:sz w:val="16"/>
        <w:szCs w:val="16"/>
        <w:u w:val="none" w:color="000000"/>
        <w:bdr w:val="none" w:sz="0" w:space="0" w:color="auto"/>
        <w:shd w:val="clear" w:color="auto" w:fill="auto"/>
        <w:vertAlign w:val="baseline"/>
      </w:rPr>
    </w:lvl>
    <w:lvl w:ilvl="8" w:tplc="01BE188C">
      <w:start w:val="1"/>
      <w:numFmt w:val="bullet"/>
      <w:lvlText w:val="▪"/>
      <w:lvlJc w:val="left"/>
      <w:pPr>
        <w:ind w:left="6480"/>
      </w:pPr>
      <w:rPr>
        <w:rFonts w:ascii="Courier New" w:eastAsia="Courier New" w:hAnsi="Courier New" w:cs="Courier New"/>
        <w:b w:val="0"/>
        <w:i w:val="0"/>
        <w:strike w:val="0"/>
        <w:dstrike w:val="0"/>
        <w:color w:val="FFC000"/>
        <w:sz w:val="16"/>
        <w:szCs w:val="16"/>
        <w:u w:val="none" w:color="000000"/>
        <w:bdr w:val="none" w:sz="0" w:space="0" w:color="auto"/>
        <w:shd w:val="clear" w:color="auto" w:fill="auto"/>
        <w:vertAlign w:val="baseline"/>
      </w:rPr>
    </w:lvl>
  </w:abstractNum>
  <w:abstractNum w:abstractNumId="4" w15:restartNumberingAfterBreak="0">
    <w:nsid w:val="7E125678"/>
    <w:multiLevelType w:val="hybridMultilevel"/>
    <w:tmpl w:val="F59AA564"/>
    <w:lvl w:ilvl="0" w:tplc="D35AD146">
      <w:start w:val="5"/>
      <w:numFmt w:val="bullet"/>
      <w:lvlText w:val="-"/>
      <w:lvlJc w:val="left"/>
      <w:pPr>
        <w:ind w:left="72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EAE"/>
    <w:rsid w:val="000F3F72"/>
    <w:rsid w:val="00105617"/>
    <w:rsid w:val="0010756F"/>
    <w:rsid w:val="00222E27"/>
    <w:rsid w:val="003E3A93"/>
    <w:rsid w:val="003F1EAE"/>
    <w:rsid w:val="005172C0"/>
    <w:rsid w:val="00552FEC"/>
    <w:rsid w:val="005F6C2E"/>
    <w:rsid w:val="0064117F"/>
    <w:rsid w:val="0066156F"/>
    <w:rsid w:val="0078279B"/>
    <w:rsid w:val="007D7E5B"/>
    <w:rsid w:val="00821D0F"/>
    <w:rsid w:val="008B2CB3"/>
    <w:rsid w:val="0095673A"/>
    <w:rsid w:val="00A830A9"/>
    <w:rsid w:val="00BC79D7"/>
    <w:rsid w:val="00E82374"/>
    <w:rsid w:val="00E86556"/>
    <w:rsid w:val="00E86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14A2"/>
  <w15:docId w15:val="{7DCD6248-83BC-4C3A-B7B5-80B64E8A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86" w:lineRule="auto"/>
      <w:ind w:left="10" w:right="6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5F6C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C2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F6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C2E"/>
    <w:rPr>
      <w:rFonts w:ascii="Times New Roman" w:eastAsia="Times New Roman" w:hAnsi="Times New Roman" w:cs="Times New Roman"/>
      <w:color w:val="000000"/>
      <w:sz w:val="24"/>
    </w:rPr>
  </w:style>
  <w:style w:type="paragraph" w:styleId="ListParagraph">
    <w:name w:val="List Paragraph"/>
    <w:aliases w:val="Normal bullet 2,List Paragraph1,Forth level,List1,body 2,List Paragraph11,Listă colorată - Accentuare 11,Bullet,Citation List,Akapit z listą BS,Outlines a.b.c.,List_Paragraph,Multilevel para_II,Akapit z lista BS,ERP-List Paragraph,2,Dot p"/>
    <w:basedOn w:val="Normal"/>
    <w:link w:val="ListParagraphChar"/>
    <w:uiPriority w:val="34"/>
    <w:qFormat/>
    <w:rsid w:val="005F6C2E"/>
    <w:pPr>
      <w:ind w:left="720"/>
      <w:contextualSpacing/>
    </w:pPr>
  </w:style>
  <w:style w:type="character" w:customStyle="1" w:styleId="BodyTextChar">
    <w:name w:val="Body Text Char"/>
    <w:basedOn w:val="DefaultParagraphFont"/>
    <w:link w:val="BodyText"/>
    <w:rsid w:val="005F6C2E"/>
    <w:rPr>
      <w:rFonts w:ascii="Arial" w:eastAsia="Arial" w:hAnsi="Arial" w:cs="Arial"/>
    </w:rPr>
  </w:style>
  <w:style w:type="paragraph" w:styleId="BodyText">
    <w:name w:val="Body Text"/>
    <w:basedOn w:val="Normal"/>
    <w:link w:val="BodyTextChar"/>
    <w:qFormat/>
    <w:rsid w:val="005F6C2E"/>
    <w:pPr>
      <w:widowControl w:val="0"/>
      <w:spacing w:after="100" w:line="259" w:lineRule="auto"/>
      <w:ind w:left="0" w:right="0" w:firstLine="0"/>
      <w:jc w:val="left"/>
    </w:pPr>
    <w:rPr>
      <w:rFonts w:ascii="Arial" w:eastAsia="Arial" w:hAnsi="Arial" w:cs="Arial"/>
      <w:color w:val="auto"/>
      <w:sz w:val="22"/>
    </w:rPr>
  </w:style>
  <w:style w:type="character" w:customStyle="1" w:styleId="BodyTextChar1">
    <w:name w:val="Body Text Char1"/>
    <w:basedOn w:val="DefaultParagraphFont"/>
    <w:uiPriority w:val="99"/>
    <w:semiHidden/>
    <w:rsid w:val="005F6C2E"/>
    <w:rPr>
      <w:rFonts w:ascii="Times New Roman" w:eastAsia="Times New Roman" w:hAnsi="Times New Roman" w:cs="Times New Roman"/>
      <w:color w:val="000000"/>
      <w:sz w:val="24"/>
    </w:rPr>
  </w:style>
  <w:style w:type="character" w:styleId="Emphasis">
    <w:name w:val="Emphasis"/>
    <w:basedOn w:val="DefaultParagraphFont"/>
    <w:uiPriority w:val="20"/>
    <w:qFormat/>
    <w:rsid w:val="005F6C2E"/>
    <w:rPr>
      <w:i/>
      <w:iC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Akapit z listą BS Char,Outlines a.b.c. Char,2 Char,Dot p Char"/>
    <w:link w:val="ListParagraph"/>
    <w:uiPriority w:val="34"/>
    <w:qFormat/>
    <w:locked/>
    <w:rsid w:val="003E3A9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2025-08-28T11:03:00Z</cp:lastPrinted>
  <dcterms:created xsi:type="dcterms:W3CDTF">2025-11-04T13:11:00Z</dcterms:created>
  <dcterms:modified xsi:type="dcterms:W3CDTF">2025-11-04T13:11:00Z</dcterms:modified>
</cp:coreProperties>
</file>